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48" w:rsidRPr="008B47DB" w:rsidRDefault="00B66048" w:rsidP="00B66048">
      <w:pPr>
        <w:pStyle w:val="Antrat2"/>
        <w:jc w:val="center"/>
        <w:rPr>
          <w:rFonts w:ascii="Times New Roman" w:hAnsi="Times New Roman"/>
          <w:i w:val="0"/>
          <w:sz w:val="24"/>
          <w:szCs w:val="24"/>
        </w:rPr>
      </w:pPr>
      <w:bookmarkStart w:id="0" w:name="_Toc240778289"/>
      <w:bookmarkStart w:id="1" w:name="_Toc240778515"/>
      <w:bookmarkStart w:id="2" w:name="_Toc240778577"/>
      <w:r w:rsidRPr="008B47DB">
        <w:rPr>
          <w:rFonts w:ascii="Times New Roman" w:hAnsi="Times New Roman"/>
          <w:i w:val="0"/>
          <w:sz w:val="24"/>
          <w:szCs w:val="24"/>
        </w:rPr>
        <w:t>VIDURINIO UGDYMO PROGRAMOS VYKDYMO BENDROSIOS NUOSTATOS</w:t>
      </w:r>
      <w:bookmarkEnd w:id="0"/>
      <w:bookmarkEnd w:id="1"/>
      <w:bookmarkEnd w:id="2"/>
    </w:p>
    <w:p w:rsidR="00B66048" w:rsidRPr="008B47DB" w:rsidRDefault="00B66048" w:rsidP="00B66048">
      <w:pPr>
        <w:tabs>
          <w:tab w:val="left" w:pos="0"/>
          <w:tab w:val="left" w:pos="900"/>
        </w:tabs>
        <w:jc w:val="center"/>
        <w:rPr>
          <w:b/>
        </w:rPr>
      </w:pPr>
    </w:p>
    <w:p w:rsidR="00B66048" w:rsidRPr="008B47DB" w:rsidRDefault="00B66048" w:rsidP="00B66048">
      <w:pPr>
        <w:numPr>
          <w:ilvl w:val="0"/>
          <w:numId w:val="1"/>
        </w:numPr>
        <w:tabs>
          <w:tab w:val="left" w:pos="1134"/>
        </w:tabs>
        <w:ind w:left="0" w:firstLine="709"/>
        <w:jc w:val="both"/>
      </w:pPr>
      <w:r w:rsidRPr="008B47DB">
        <w:t>Gimnazija vykdydama vidurinio ugdymo programą vadovaujasi vidurinio ugdymo bendrosiomis programomis. Ugdymas organizuojamas vadovaujantis Ugdymo programų aprašu, Mokymosi formų ir mokymo organizavimo tvarkos aprašu, bendraisiais ugdymo planais.</w:t>
      </w:r>
    </w:p>
    <w:p w:rsidR="00B66048" w:rsidRPr="008B47DB" w:rsidRDefault="00B66048" w:rsidP="00B66048">
      <w:pPr>
        <w:numPr>
          <w:ilvl w:val="0"/>
          <w:numId w:val="1"/>
        </w:numPr>
        <w:tabs>
          <w:tab w:val="left" w:pos="1134"/>
        </w:tabs>
        <w:ind w:left="0" w:firstLine="709"/>
        <w:jc w:val="both"/>
      </w:pPr>
      <w:r w:rsidRPr="008B47DB">
        <w:t>Mokinys vadovaudamasis Ugdymo programų aprašu, kartu su gimnazija pasirengia individualų ugdymo planą. Gimnazija mokiniui sudaro sąlygas įgyvendinti individualų ugdymo planą ir siekia, kad jis pagilintų ir praplėstų žinias, gebėjimus bei kompetencijas pasirinktose srityse, pasirengtų laikyti brandos egzaminus ir tęstų tolesnį mokymąsi.</w:t>
      </w:r>
    </w:p>
    <w:p w:rsidR="00B66048" w:rsidRDefault="00B66048" w:rsidP="00B66048">
      <w:pPr>
        <w:numPr>
          <w:ilvl w:val="0"/>
          <w:numId w:val="1"/>
        </w:numPr>
        <w:tabs>
          <w:tab w:val="left" w:pos="1134"/>
        </w:tabs>
        <w:ind w:left="0" w:firstLine="709"/>
        <w:jc w:val="both"/>
      </w:pPr>
      <w:r w:rsidRPr="008B47DB">
        <w:t xml:space="preserve">Keisti dalyką ar dalyko kursą mokinys gali atsiskaitęs (išlaikęs įskaitą) iš naujai pasirinkto dalyko programos ar dalyko kurso skirtumo. Jei įskaita išlaikoma pusmečio ar mokslo metų pabaigoje, įvertinimas, prie kurio pažymimas kursas raidėmis B (bendrasis) arba A (išplėstinis), įrašomas stulpelyje prie pusmečio ar metinių pažymių. </w:t>
      </w:r>
    </w:p>
    <w:p w:rsidR="00B66048" w:rsidRPr="008B47DB" w:rsidRDefault="00B66048" w:rsidP="00B66048">
      <w:pPr>
        <w:tabs>
          <w:tab w:val="left" w:pos="1134"/>
        </w:tabs>
        <w:ind w:left="1418"/>
        <w:jc w:val="both"/>
      </w:pPr>
    </w:p>
    <w:p w:rsidR="00B66048" w:rsidRPr="008B47DB" w:rsidRDefault="00B66048" w:rsidP="00B66048">
      <w:pPr>
        <w:pStyle w:val="Antrat2"/>
        <w:jc w:val="center"/>
        <w:rPr>
          <w:rFonts w:ascii="Times New Roman" w:hAnsi="Times New Roman"/>
          <w:i w:val="0"/>
          <w:sz w:val="24"/>
          <w:szCs w:val="24"/>
        </w:rPr>
      </w:pPr>
      <w:bookmarkStart w:id="3" w:name="_Toc240778290"/>
      <w:bookmarkStart w:id="4" w:name="_Toc240778516"/>
      <w:bookmarkStart w:id="5" w:name="_Toc240778578"/>
      <w:r w:rsidRPr="008B47DB">
        <w:rPr>
          <w:rFonts w:ascii="Times New Roman" w:hAnsi="Times New Roman"/>
          <w:i w:val="0"/>
          <w:sz w:val="24"/>
          <w:szCs w:val="24"/>
        </w:rPr>
        <w:t>II. UGDYMO SRIČIŲ DALYKŲ MOKYMO ORGANIZAVIMAS</w:t>
      </w:r>
      <w:bookmarkEnd w:id="3"/>
      <w:bookmarkEnd w:id="4"/>
      <w:bookmarkEnd w:id="5"/>
    </w:p>
    <w:p w:rsidR="00B66048" w:rsidRPr="008B47DB" w:rsidRDefault="00B66048" w:rsidP="00B66048">
      <w:pPr>
        <w:tabs>
          <w:tab w:val="left" w:pos="0"/>
          <w:tab w:val="left" w:pos="900"/>
        </w:tabs>
        <w:jc w:val="both"/>
        <w:rPr>
          <w:b/>
        </w:rPr>
      </w:pPr>
    </w:p>
    <w:p w:rsidR="00B66048" w:rsidRPr="008B47DB" w:rsidRDefault="00B66048" w:rsidP="00B66048">
      <w:pPr>
        <w:numPr>
          <w:ilvl w:val="0"/>
          <w:numId w:val="1"/>
        </w:numPr>
        <w:tabs>
          <w:tab w:val="left" w:pos="0"/>
          <w:tab w:val="left" w:pos="1134"/>
        </w:tabs>
        <w:ind w:firstLine="207"/>
        <w:jc w:val="both"/>
      </w:pPr>
      <w:r w:rsidRPr="008B47DB">
        <w:t xml:space="preserve">Dorinis ugdymas: </w:t>
      </w:r>
    </w:p>
    <w:p w:rsidR="00B66048" w:rsidRPr="008B47DB" w:rsidRDefault="00B66048" w:rsidP="00B66048">
      <w:pPr>
        <w:numPr>
          <w:ilvl w:val="1"/>
          <w:numId w:val="1"/>
        </w:numPr>
        <w:tabs>
          <w:tab w:val="left" w:pos="0"/>
          <w:tab w:val="left" w:pos="1276"/>
        </w:tabs>
        <w:ind w:left="0" w:firstLine="698"/>
        <w:jc w:val="both"/>
      </w:pPr>
      <w:r w:rsidRPr="008B47DB">
        <w:t>mokinys renkasi vieną dalyką – tikybą arba etiką. Visi III</w:t>
      </w:r>
      <w:r>
        <w:t>G</w:t>
      </w:r>
      <w:r w:rsidRPr="008B47DB">
        <w:t xml:space="preserve"> - IV</w:t>
      </w:r>
      <w:r>
        <w:t>G</w:t>
      </w:r>
      <w:r w:rsidRPr="008B47DB">
        <w:t xml:space="preserve"> klasių mokiniai pasirinko tikybą.</w:t>
      </w:r>
    </w:p>
    <w:p w:rsidR="00B66048" w:rsidRPr="008B47DB" w:rsidRDefault="00B66048" w:rsidP="00B66048">
      <w:pPr>
        <w:numPr>
          <w:ilvl w:val="0"/>
          <w:numId w:val="1"/>
        </w:numPr>
        <w:tabs>
          <w:tab w:val="left" w:pos="0"/>
          <w:tab w:val="left" w:pos="1134"/>
        </w:tabs>
        <w:ind w:firstLine="207"/>
        <w:jc w:val="both"/>
      </w:pPr>
      <w:r w:rsidRPr="008B47DB">
        <w:t>Lietuvių kalba ir literatūra:</w:t>
      </w:r>
    </w:p>
    <w:p w:rsidR="00B66048" w:rsidRPr="008B47DB" w:rsidRDefault="00B66048" w:rsidP="00B66048">
      <w:pPr>
        <w:numPr>
          <w:ilvl w:val="1"/>
          <w:numId w:val="1"/>
        </w:numPr>
        <w:tabs>
          <w:tab w:val="left" w:pos="0"/>
          <w:tab w:val="left" w:pos="1134"/>
          <w:tab w:val="left" w:pos="1276"/>
        </w:tabs>
        <w:ind w:left="0" w:firstLine="709"/>
        <w:jc w:val="both"/>
      </w:pPr>
      <w:r w:rsidRPr="008B47DB">
        <w:t xml:space="preserve">išplėstinį kursą gimnazijos IIIG klasėje </w:t>
      </w:r>
      <w:r>
        <w:t>parinko mokiniai</w:t>
      </w:r>
      <w:r w:rsidRPr="008B47DB">
        <w:t xml:space="preserve">, kurių lietuvių kalbos pagrindinio ugdymo </w:t>
      </w:r>
      <w:r>
        <w:t xml:space="preserve">metinio </w:t>
      </w:r>
      <w:r w:rsidRPr="008B47DB">
        <w:t>įvertinimai yra ne žemesni kaip šeši balai.</w:t>
      </w:r>
    </w:p>
    <w:p w:rsidR="00B66048" w:rsidRPr="008B47DB" w:rsidRDefault="00B66048" w:rsidP="00B66048">
      <w:pPr>
        <w:numPr>
          <w:ilvl w:val="0"/>
          <w:numId w:val="1"/>
        </w:numPr>
        <w:tabs>
          <w:tab w:val="left" w:pos="0"/>
          <w:tab w:val="left" w:pos="1134"/>
        </w:tabs>
        <w:ind w:firstLine="207"/>
        <w:jc w:val="both"/>
      </w:pPr>
      <w:r w:rsidRPr="008B47DB">
        <w:t>Užsienio kalbų mokymo (-</w:t>
      </w:r>
      <w:proofErr w:type="spellStart"/>
      <w:r w:rsidRPr="008B47DB">
        <w:t>si</w:t>
      </w:r>
      <w:proofErr w:type="spellEnd"/>
      <w:r w:rsidRPr="008B47DB">
        <w:t>) organizavimas:</w:t>
      </w:r>
    </w:p>
    <w:p w:rsidR="00B66048" w:rsidRPr="008B47DB" w:rsidRDefault="00B66048" w:rsidP="00B66048">
      <w:pPr>
        <w:numPr>
          <w:ilvl w:val="1"/>
          <w:numId w:val="1"/>
        </w:numPr>
        <w:tabs>
          <w:tab w:val="left" w:pos="0"/>
          <w:tab w:val="left" w:pos="1276"/>
        </w:tabs>
        <w:ind w:left="0" w:firstLine="709"/>
        <w:jc w:val="both"/>
      </w:pPr>
      <w:r w:rsidRPr="008B47DB">
        <w:t>užsienio kalbų dalyko bendroji programa pateikiama kursais, orientuotais į Europos Tarybos siūlomus A1 ir A2, B1 ir B2 kalbos mokėjimo lygius. Mokiniai mokosi užsienio kalbų pagal kalbų mokėjimo lygius, kurie atitinka jų užsienio kalbų pasiekimus. Mokinių užsienio kalbų pasiekimai nustatomi centralizuotai parengtais lygio nustatymo testais (pateikiamais per duomenų perdavimo sistemą KELTAS);</w:t>
      </w:r>
    </w:p>
    <w:p w:rsidR="00B66048" w:rsidRPr="008B47DB" w:rsidRDefault="00B66048" w:rsidP="00B66048">
      <w:pPr>
        <w:numPr>
          <w:ilvl w:val="1"/>
          <w:numId w:val="1"/>
        </w:numPr>
        <w:tabs>
          <w:tab w:val="left" w:pos="0"/>
          <w:tab w:val="left" w:pos="1276"/>
        </w:tabs>
        <w:ind w:left="0" w:firstLine="709"/>
        <w:jc w:val="both"/>
      </w:pPr>
      <w:r w:rsidRPr="008B47DB">
        <w:t>užsienio kalbų ugdymas organizuojamas grupėse, kuriose visi arba dauguma mokinių siekia to paties lygio:</w:t>
      </w:r>
    </w:p>
    <w:p w:rsidR="00B66048" w:rsidRPr="008B47DB" w:rsidRDefault="00B66048" w:rsidP="00B66048">
      <w:pPr>
        <w:numPr>
          <w:ilvl w:val="2"/>
          <w:numId w:val="1"/>
        </w:numPr>
        <w:tabs>
          <w:tab w:val="left" w:pos="1560"/>
        </w:tabs>
        <w:ind w:left="0" w:firstLine="709"/>
        <w:jc w:val="both"/>
      </w:pPr>
      <w:r w:rsidRPr="008B47DB">
        <w:t xml:space="preserve">IVG klasės mokiniai tęsia anglų kalbos mokymąsi B1/B2 lygiu ir rusų kalbos </w:t>
      </w:r>
      <w:r>
        <w:t>B1/</w:t>
      </w:r>
      <w:r w:rsidRPr="008B47DB">
        <w:t>B2 lygiu.</w:t>
      </w:r>
    </w:p>
    <w:p w:rsidR="00B66048" w:rsidRPr="008B47DB" w:rsidRDefault="00B66048" w:rsidP="00B66048">
      <w:pPr>
        <w:numPr>
          <w:ilvl w:val="2"/>
          <w:numId w:val="1"/>
        </w:numPr>
        <w:tabs>
          <w:tab w:val="left" w:pos="1560"/>
        </w:tabs>
        <w:ind w:hanging="371"/>
        <w:jc w:val="both"/>
      </w:pPr>
      <w:r w:rsidRPr="008B47DB">
        <w:t>IIIG klasės mokiniai mokosi anglų kalbos B1/B2 lygiu ir rusų kalbos B1/B2 lygiu.</w:t>
      </w:r>
    </w:p>
    <w:p w:rsidR="00B66048" w:rsidRPr="008B47DB" w:rsidRDefault="00B66048" w:rsidP="00B66048">
      <w:pPr>
        <w:numPr>
          <w:ilvl w:val="1"/>
          <w:numId w:val="1"/>
        </w:numPr>
        <w:tabs>
          <w:tab w:val="left" w:pos="1276"/>
        </w:tabs>
        <w:ind w:left="0" w:firstLine="709"/>
        <w:jc w:val="both"/>
      </w:pPr>
      <w:r w:rsidRPr="008B47DB">
        <w:t>užsienio kalbos dalykų modulių programos papildo B2, B1 kurso programas. Mokiniai iš gimnazijoje siūlomų modulių programų renkasi pagal polinkius ir interesus. IIIG ir IG klasės mokiniai pasirinko anglų kalbos modulį „Tobulink rašymo įgūdžius“;</w:t>
      </w:r>
    </w:p>
    <w:p w:rsidR="00B66048" w:rsidRPr="008B47DB" w:rsidRDefault="00B66048" w:rsidP="00B66048">
      <w:pPr>
        <w:numPr>
          <w:ilvl w:val="0"/>
          <w:numId w:val="1"/>
        </w:numPr>
        <w:tabs>
          <w:tab w:val="left" w:pos="1134"/>
        </w:tabs>
        <w:ind w:firstLine="207"/>
        <w:jc w:val="both"/>
      </w:pPr>
      <w:r w:rsidRPr="008B47DB">
        <w:t>Menai:</w:t>
      </w:r>
    </w:p>
    <w:p w:rsidR="00B66048" w:rsidRPr="008B47DB" w:rsidRDefault="00B66048" w:rsidP="00B66048">
      <w:pPr>
        <w:numPr>
          <w:ilvl w:val="1"/>
          <w:numId w:val="1"/>
        </w:numPr>
        <w:tabs>
          <w:tab w:val="left" w:pos="1276"/>
        </w:tabs>
        <w:ind w:left="0" w:firstLine="698"/>
        <w:jc w:val="both"/>
      </w:pPr>
      <w:r w:rsidRPr="008B47DB">
        <w:rPr>
          <w:rFonts w:ascii="TimesNewRomanPSMT" w:hAnsi="TimesNewRomanPSMT" w:cs="TimesNewRomanPSMT"/>
        </w:rPr>
        <w:t>mokiniui siūloma rinktis bent vieną iš meninio ugdymo programų: dailės, filmų kūrimo, fotografijos, grafinio dizaino, kompiuterinių muzikos technologijų,</w:t>
      </w:r>
      <w:r w:rsidRPr="008B47DB">
        <w:t xml:space="preserve"> </w:t>
      </w:r>
      <w:r w:rsidRPr="008B47DB">
        <w:rPr>
          <w:rFonts w:ascii="TimesNewRomanPSMT" w:hAnsi="TimesNewRomanPSMT" w:cs="TimesNewRomanPSMT"/>
        </w:rPr>
        <w:t xml:space="preserve">muzikos, šokio ar teatro. IIIG </w:t>
      </w:r>
      <w:r>
        <w:rPr>
          <w:rFonts w:ascii="TimesNewRomanPSMT" w:hAnsi="TimesNewRomanPSMT" w:cs="TimesNewRomanPSMT"/>
        </w:rPr>
        <w:t xml:space="preserve">ir IVG </w:t>
      </w:r>
      <w:r w:rsidRPr="008B47DB">
        <w:rPr>
          <w:rFonts w:ascii="TimesNewRomanPSMT" w:hAnsi="TimesNewRomanPSMT" w:cs="TimesNewRomanPSMT"/>
        </w:rPr>
        <w:t xml:space="preserve">klasės  mokiniai pasirinko muziką. </w:t>
      </w:r>
    </w:p>
    <w:p w:rsidR="00B66048" w:rsidRPr="008B47DB" w:rsidRDefault="00B66048" w:rsidP="00B66048">
      <w:pPr>
        <w:numPr>
          <w:ilvl w:val="0"/>
          <w:numId w:val="1"/>
        </w:numPr>
        <w:tabs>
          <w:tab w:val="left" w:pos="1134"/>
        </w:tabs>
        <w:ind w:firstLine="207"/>
        <w:jc w:val="both"/>
      </w:pPr>
      <w:r w:rsidRPr="008B47DB">
        <w:t>Technologijos:</w:t>
      </w:r>
    </w:p>
    <w:p w:rsidR="00B66048" w:rsidRPr="008B47DB" w:rsidRDefault="00B66048" w:rsidP="00B66048">
      <w:pPr>
        <w:numPr>
          <w:ilvl w:val="1"/>
          <w:numId w:val="1"/>
        </w:numPr>
        <w:tabs>
          <w:tab w:val="left" w:pos="1276"/>
        </w:tabs>
        <w:ind w:left="0" w:firstLine="709"/>
        <w:jc w:val="both"/>
      </w:pPr>
      <w:r w:rsidRPr="008B47DB">
        <w:rPr>
          <w:rFonts w:eastAsia="MS Mincho"/>
          <w:lang w:eastAsia="ja-JP"/>
        </w:rPr>
        <w:t>mokiniui siūloma rinktis bent vieną iš technologijų programos krypčių: turizmo ir mitybos; statybos ir medžio apdirbimo; taikomojo meno, amatų ir dizaino; tekstilės ir aprangos; verslo, vadybos ir mažmeninės prekybos; mechanikos, mechaninio remonto</w:t>
      </w:r>
      <w:r>
        <w:rPr>
          <w:rFonts w:eastAsia="MS Mincho"/>
          <w:lang w:eastAsia="ja-JP"/>
        </w:rPr>
        <w:t xml:space="preserve">. IIIG klasės mokiniai pasirinko </w:t>
      </w:r>
      <w:r w:rsidRPr="008B47DB">
        <w:rPr>
          <w:rFonts w:eastAsia="MS Mincho"/>
          <w:lang w:eastAsia="ja-JP"/>
        </w:rPr>
        <w:t>taikomojo meno, amatų ir dizaino</w:t>
      </w:r>
      <w:r>
        <w:rPr>
          <w:rFonts w:eastAsia="MS Mincho"/>
          <w:lang w:eastAsia="ja-JP"/>
        </w:rPr>
        <w:t xml:space="preserve">, statybos ir medžio apdirbimą, o IVG klasės mokiniai pasirinko </w:t>
      </w:r>
      <w:r w:rsidRPr="008B47DB">
        <w:rPr>
          <w:rFonts w:eastAsia="MS Mincho"/>
          <w:lang w:eastAsia="ja-JP"/>
        </w:rPr>
        <w:t>statybos ir medžio apdirbimo</w:t>
      </w:r>
      <w:r>
        <w:rPr>
          <w:rFonts w:eastAsia="MS Mincho"/>
          <w:lang w:eastAsia="ja-JP"/>
        </w:rPr>
        <w:t xml:space="preserve"> dalyką.</w:t>
      </w:r>
    </w:p>
    <w:p w:rsidR="00B66048" w:rsidRPr="008B47DB" w:rsidRDefault="00B66048" w:rsidP="00B66048">
      <w:pPr>
        <w:numPr>
          <w:ilvl w:val="0"/>
          <w:numId w:val="1"/>
        </w:numPr>
        <w:tabs>
          <w:tab w:val="left" w:pos="1134"/>
        </w:tabs>
        <w:ind w:firstLine="207"/>
        <w:jc w:val="both"/>
      </w:pPr>
      <w:r>
        <w:t xml:space="preserve">Fizinio </w:t>
      </w:r>
      <w:r w:rsidRPr="008B47DB">
        <w:t>ugdy</w:t>
      </w:r>
      <w:r>
        <w:t>mo</w:t>
      </w:r>
      <w:r w:rsidRPr="008B47DB">
        <w:t xml:space="preserve"> organizavimas: </w:t>
      </w:r>
    </w:p>
    <w:p w:rsidR="00B66048" w:rsidRPr="008B47DB" w:rsidRDefault="00B66048" w:rsidP="00B66048">
      <w:pPr>
        <w:numPr>
          <w:ilvl w:val="1"/>
          <w:numId w:val="1"/>
        </w:numPr>
        <w:tabs>
          <w:tab w:val="left" w:pos="1276"/>
        </w:tabs>
        <w:ind w:hanging="11"/>
        <w:jc w:val="both"/>
      </w:pPr>
      <w:r w:rsidRPr="008B47DB">
        <w:t xml:space="preserve">mokiniai renkasi bendrąją </w:t>
      </w:r>
      <w:r>
        <w:t>fizinį ugdymą</w:t>
      </w:r>
      <w:r w:rsidRPr="008B47DB">
        <w:t>;</w:t>
      </w:r>
    </w:p>
    <w:p w:rsidR="00B66048" w:rsidRPr="008B47DB" w:rsidRDefault="00B66048" w:rsidP="00B66048">
      <w:pPr>
        <w:numPr>
          <w:ilvl w:val="1"/>
          <w:numId w:val="1"/>
        </w:numPr>
        <w:tabs>
          <w:tab w:val="left" w:pos="1276"/>
        </w:tabs>
        <w:ind w:left="0" w:firstLine="709"/>
        <w:jc w:val="both"/>
      </w:pPr>
      <w:r>
        <w:lastRenderedPageBreak/>
        <w:t>fizinio ugdymo</w:t>
      </w:r>
      <w:r w:rsidRPr="008B47DB">
        <w:t xml:space="preserve"> pasiekimai vertinami pažymiais. Vidurinio ugdymo programoje </w:t>
      </w:r>
      <w:r>
        <w:t xml:space="preserve">fizinio ugdymo </w:t>
      </w:r>
      <w:r w:rsidRPr="008B47DB">
        <w:t xml:space="preserve"> mokymas neintensyvinamas;</w:t>
      </w:r>
    </w:p>
    <w:p w:rsidR="00B66048" w:rsidRPr="008B47DB" w:rsidRDefault="00B66048" w:rsidP="00B66048">
      <w:pPr>
        <w:numPr>
          <w:ilvl w:val="1"/>
          <w:numId w:val="1"/>
        </w:numPr>
        <w:tabs>
          <w:tab w:val="left" w:pos="1276"/>
        </w:tabs>
        <w:ind w:left="0" w:firstLine="709"/>
        <w:jc w:val="both"/>
      </w:pPr>
      <w:r w:rsidRPr="008B47DB">
        <w:t>dėl ligos pobūdžio negalintiems atlikti įprastų užduočių, mokytojas taiko alternatyvias atsiskaitymo užduotis, kurios atitinka mokinio fizines galimybes ir gydytojo rekomendacijas.</w:t>
      </w:r>
    </w:p>
    <w:p w:rsidR="00B66048" w:rsidRPr="008B47DB" w:rsidRDefault="00B66048" w:rsidP="00B66048">
      <w:pPr>
        <w:pStyle w:val="Betarp"/>
        <w:numPr>
          <w:ilvl w:val="0"/>
          <w:numId w:val="1"/>
        </w:numPr>
        <w:tabs>
          <w:tab w:val="left" w:pos="1134"/>
        </w:tabs>
        <w:ind w:firstLine="207"/>
        <w:jc w:val="both"/>
        <w:rPr>
          <w:rFonts w:ascii="Times New Roman" w:hAnsi="Times New Roman"/>
          <w:sz w:val="24"/>
          <w:szCs w:val="24"/>
        </w:rPr>
      </w:pPr>
      <w:r w:rsidRPr="008B47DB">
        <w:rPr>
          <w:rFonts w:ascii="Times New Roman" w:hAnsi="Times New Roman"/>
          <w:sz w:val="24"/>
          <w:szCs w:val="24"/>
        </w:rPr>
        <w:t xml:space="preserve"> Žmogaus saugos ugdymo organizavimas:</w:t>
      </w:r>
    </w:p>
    <w:p w:rsidR="00B66048" w:rsidRPr="008B47DB" w:rsidRDefault="00B66048" w:rsidP="00B66048">
      <w:pPr>
        <w:pStyle w:val="Betarp"/>
        <w:numPr>
          <w:ilvl w:val="1"/>
          <w:numId w:val="1"/>
        </w:numPr>
        <w:tabs>
          <w:tab w:val="left" w:pos="1276"/>
        </w:tabs>
        <w:ind w:hanging="11"/>
        <w:jc w:val="both"/>
        <w:rPr>
          <w:rFonts w:ascii="Times New Roman" w:hAnsi="Times New Roman"/>
          <w:sz w:val="24"/>
          <w:szCs w:val="24"/>
        </w:rPr>
      </w:pPr>
      <w:r w:rsidRPr="008B47DB">
        <w:rPr>
          <w:rFonts w:ascii="Times New Roman" w:hAnsi="Times New Roman"/>
          <w:sz w:val="24"/>
          <w:szCs w:val="24"/>
        </w:rPr>
        <w:t>žmogaus sauga integruojama į ugdymo turinį;</w:t>
      </w:r>
    </w:p>
    <w:p w:rsidR="00B66048" w:rsidRPr="008B47DB" w:rsidRDefault="00B66048" w:rsidP="00B66048">
      <w:pPr>
        <w:pStyle w:val="Betarp"/>
        <w:numPr>
          <w:ilvl w:val="1"/>
          <w:numId w:val="1"/>
        </w:numPr>
        <w:tabs>
          <w:tab w:val="left" w:pos="1276"/>
        </w:tabs>
        <w:ind w:left="0" w:firstLine="709"/>
        <w:jc w:val="both"/>
        <w:rPr>
          <w:rFonts w:ascii="Times New Roman" w:hAnsi="Times New Roman"/>
          <w:sz w:val="24"/>
          <w:szCs w:val="24"/>
        </w:rPr>
      </w:pPr>
      <w:r w:rsidRPr="008B47DB">
        <w:rPr>
          <w:rFonts w:ascii="Times New Roman" w:hAnsi="Times New Roman"/>
          <w:sz w:val="24"/>
          <w:szCs w:val="24"/>
        </w:rPr>
        <w:t>integruojamas Ž</w:t>
      </w:r>
      <w:r w:rsidRPr="008B47DB">
        <w:rPr>
          <w:rFonts w:ascii="Times New Roman" w:hAnsi="Times New Roman"/>
          <w:sz w:val="24"/>
          <w:szCs w:val="24"/>
          <w:lang w:eastAsia="lt-LT"/>
        </w:rPr>
        <w:t>mogaus saugos bendrosios programos temas dalykų mokytojai įrašo skiltyje „Pamokos tema“ ir prie jos nurodo „ŽS“.</w:t>
      </w:r>
    </w:p>
    <w:p w:rsidR="00B66048" w:rsidRPr="008B47DB" w:rsidRDefault="00B66048" w:rsidP="00B66048">
      <w:pPr>
        <w:pStyle w:val="Betarp"/>
        <w:numPr>
          <w:ilvl w:val="0"/>
          <w:numId w:val="1"/>
        </w:numPr>
        <w:tabs>
          <w:tab w:val="left" w:pos="1134"/>
        </w:tabs>
        <w:ind w:firstLine="207"/>
        <w:jc w:val="both"/>
        <w:rPr>
          <w:rFonts w:ascii="Times New Roman" w:hAnsi="Times New Roman"/>
          <w:sz w:val="24"/>
          <w:szCs w:val="24"/>
        </w:rPr>
      </w:pPr>
      <w:r w:rsidRPr="008B47DB">
        <w:rPr>
          <w:rFonts w:ascii="Times New Roman" w:hAnsi="Times New Roman"/>
          <w:sz w:val="24"/>
          <w:szCs w:val="24"/>
        </w:rPr>
        <w:t xml:space="preserve"> Mobiliųjų ir neformalaus ugdymo grupių, modulių sudarymas:</w:t>
      </w:r>
    </w:p>
    <w:p w:rsidR="00B66048" w:rsidRPr="008B47DB" w:rsidRDefault="00B66048" w:rsidP="00B66048">
      <w:pPr>
        <w:pStyle w:val="Betarp"/>
        <w:numPr>
          <w:ilvl w:val="1"/>
          <w:numId w:val="1"/>
        </w:numPr>
        <w:tabs>
          <w:tab w:val="left" w:pos="1276"/>
        </w:tabs>
        <w:ind w:left="0" w:firstLine="709"/>
        <w:jc w:val="both"/>
        <w:rPr>
          <w:rFonts w:ascii="Times New Roman" w:hAnsi="Times New Roman"/>
          <w:sz w:val="24"/>
          <w:szCs w:val="24"/>
        </w:rPr>
      </w:pPr>
      <w:r w:rsidRPr="008B47DB">
        <w:rPr>
          <w:rFonts w:ascii="Times New Roman" w:hAnsi="Times New Roman"/>
          <w:sz w:val="24"/>
          <w:szCs w:val="24"/>
        </w:rPr>
        <w:t>gimnazijos tarybos sprendimu nustatyta sudaryti mobiliąją grupę ir modulį ne mažiau 5 mokinių;</w:t>
      </w:r>
    </w:p>
    <w:p w:rsidR="00B66048" w:rsidRPr="008B47DB" w:rsidRDefault="00B66048" w:rsidP="00B66048">
      <w:pPr>
        <w:pStyle w:val="Betarp"/>
        <w:numPr>
          <w:ilvl w:val="1"/>
          <w:numId w:val="1"/>
        </w:numPr>
        <w:tabs>
          <w:tab w:val="left" w:pos="1276"/>
        </w:tabs>
        <w:ind w:left="0" w:firstLine="709"/>
        <w:jc w:val="both"/>
        <w:rPr>
          <w:rFonts w:ascii="Times New Roman" w:hAnsi="Times New Roman"/>
          <w:sz w:val="24"/>
          <w:szCs w:val="24"/>
        </w:rPr>
      </w:pPr>
      <w:r w:rsidRPr="008B47DB">
        <w:rPr>
          <w:rFonts w:ascii="Times New Roman" w:hAnsi="Times New Roman"/>
          <w:sz w:val="24"/>
          <w:szCs w:val="24"/>
        </w:rPr>
        <w:t xml:space="preserve">gimnazijos tarybos sprendimu nustatyta sudaryti neformaliojo ugdymo grupes ne mažiau 7 mokinių. </w:t>
      </w:r>
    </w:p>
    <w:p w:rsidR="00B66048" w:rsidRDefault="00B66048" w:rsidP="00B66048">
      <w:pPr>
        <w:rPr>
          <w:b/>
        </w:rPr>
      </w:pPr>
    </w:p>
    <w:p w:rsidR="00B66048" w:rsidRDefault="00B66048" w:rsidP="00B66048">
      <w:pPr>
        <w:jc w:val="center"/>
        <w:rPr>
          <w:b/>
        </w:rPr>
      </w:pPr>
      <w:r w:rsidRPr="008B47DB">
        <w:rPr>
          <w:b/>
        </w:rPr>
        <w:t>Vidurinio ugdymo programos vykdymo lentelė</w:t>
      </w:r>
    </w:p>
    <w:p w:rsidR="00B66048" w:rsidRPr="008B47DB" w:rsidRDefault="00B66048" w:rsidP="00B66048">
      <w:pPr>
        <w:jc w:val="center"/>
        <w:rPr>
          <w:b/>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170"/>
        <w:gridCol w:w="1095"/>
        <w:gridCol w:w="1276"/>
        <w:gridCol w:w="1229"/>
        <w:gridCol w:w="1505"/>
      </w:tblGrid>
      <w:tr w:rsidR="00B66048" w:rsidRPr="009C2C6E" w:rsidTr="00C90F0C">
        <w:trPr>
          <w:cantSplit/>
          <w:trHeight w:val="675"/>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pPr>
              <w:jc w:val="center"/>
            </w:pPr>
            <w:r w:rsidRPr="009C2C6E">
              <w:t>Dalykai</w:t>
            </w:r>
          </w:p>
        </w:tc>
        <w:tc>
          <w:tcPr>
            <w:tcW w:w="2265" w:type="dxa"/>
            <w:gridSpan w:val="2"/>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p>
          <w:p w:rsidR="00B66048" w:rsidRPr="009C2C6E" w:rsidRDefault="00B66048" w:rsidP="00C90F0C">
            <w:pPr>
              <w:jc w:val="center"/>
            </w:pPr>
            <w:r w:rsidRPr="009C2C6E">
              <w:t>IIIG klasė</w:t>
            </w:r>
          </w:p>
        </w:tc>
        <w:tc>
          <w:tcPr>
            <w:tcW w:w="2505" w:type="dxa"/>
            <w:gridSpan w:val="2"/>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p>
          <w:p w:rsidR="00B66048" w:rsidRPr="009C2C6E" w:rsidRDefault="00B66048" w:rsidP="00C90F0C">
            <w:pPr>
              <w:jc w:val="center"/>
            </w:pPr>
            <w:r w:rsidRPr="009C2C6E">
              <w:t>IVG klasė</w:t>
            </w:r>
          </w:p>
        </w:tc>
        <w:tc>
          <w:tcPr>
            <w:tcW w:w="150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p>
        </w:tc>
      </w:tr>
      <w:tr w:rsidR="00B66048" w:rsidRPr="009C2C6E" w:rsidTr="00C90F0C">
        <w:trPr>
          <w:cantSplit/>
          <w:trHeight w:val="675"/>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Dalykai</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r w:rsidRPr="009C2C6E">
              <w:t>bendrasis kursas</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r w:rsidRPr="009C2C6E">
              <w:t>išplėstinis kursas</w:t>
            </w: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r w:rsidRPr="009C2C6E">
              <w:t>bendrasis kursas</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r w:rsidRPr="009C2C6E">
              <w:t>išplėstinis</w:t>
            </w:r>
          </w:p>
          <w:p w:rsidR="00B66048" w:rsidRPr="009C2C6E" w:rsidRDefault="00B66048" w:rsidP="00C90F0C">
            <w:r w:rsidRPr="009C2C6E">
              <w:t>kursas</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proofErr w:type="spellStart"/>
            <w:r w:rsidRPr="009C2C6E">
              <w:t>Tarifi</w:t>
            </w:r>
            <w:proofErr w:type="spellEnd"/>
            <w:r w:rsidRPr="009C2C6E">
              <w:t>-</w:t>
            </w:r>
          </w:p>
          <w:p w:rsidR="00B66048" w:rsidRPr="009C2C6E" w:rsidRDefault="00B66048" w:rsidP="00C90F0C">
            <w:pPr>
              <w:jc w:val="center"/>
            </w:pPr>
            <w:proofErr w:type="spellStart"/>
            <w:r w:rsidRPr="009C2C6E">
              <w:t>kuojamos</w:t>
            </w:r>
            <w:proofErr w:type="spellEnd"/>
            <w:r w:rsidRPr="009C2C6E">
              <w:t xml:space="preserve"> val.sk.</w:t>
            </w:r>
          </w:p>
        </w:tc>
      </w:tr>
      <w:tr w:rsidR="00B66048" w:rsidRPr="009C2C6E" w:rsidTr="00C90F0C">
        <w:trPr>
          <w:cantSplit/>
          <w:trHeight w:val="272"/>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 xml:space="preserve">Tikyba </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1</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w:t>
            </w: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1</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2</w:t>
            </w:r>
          </w:p>
        </w:tc>
      </w:tr>
      <w:tr w:rsidR="00B66048" w:rsidRPr="009C2C6E" w:rsidTr="00C90F0C">
        <w:trPr>
          <w:cantSplit/>
          <w:trHeight w:val="266"/>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Gimtoji kalba (lenkų)</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5</w:t>
            </w:r>
          </w:p>
        </w:tc>
        <w:tc>
          <w:tcPr>
            <w:tcW w:w="1276"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5</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10</w:t>
            </w:r>
          </w:p>
        </w:tc>
      </w:tr>
      <w:tr w:rsidR="00B66048" w:rsidRPr="009C2C6E" w:rsidTr="00C90F0C">
        <w:trPr>
          <w:cantSplit/>
          <w:trHeight w:val="255"/>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Lietuvių kalba ir literatūra</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5*</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6</w:t>
            </w: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6</w:t>
            </w:r>
            <w:r>
              <w:t>*</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t>7</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t>13</w:t>
            </w:r>
          </w:p>
        </w:tc>
      </w:tr>
      <w:tr w:rsidR="00B66048" w:rsidRPr="009C2C6E" w:rsidTr="00C90F0C">
        <w:trPr>
          <w:cantSplit/>
          <w:trHeight w:val="260"/>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Užsienio kalba (anglų)</w:t>
            </w:r>
          </w:p>
        </w:tc>
        <w:tc>
          <w:tcPr>
            <w:tcW w:w="2265" w:type="dxa"/>
            <w:gridSpan w:val="2"/>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3B2/B1</w:t>
            </w:r>
          </w:p>
        </w:tc>
        <w:tc>
          <w:tcPr>
            <w:tcW w:w="2505" w:type="dxa"/>
            <w:gridSpan w:val="2"/>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3B2/B1</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6</w:t>
            </w:r>
          </w:p>
        </w:tc>
      </w:tr>
      <w:tr w:rsidR="00B66048" w:rsidRPr="009C2C6E" w:rsidTr="00C90F0C">
        <w:trPr>
          <w:cantSplit/>
          <w:trHeight w:val="263"/>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Užsienio kalba (rusų)</w:t>
            </w:r>
          </w:p>
        </w:tc>
        <w:tc>
          <w:tcPr>
            <w:tcW w:w="2265" w:type="dxa"/>
            <w:gridSpan w:val="2"/>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3B2/B1</w:t>
            </w:r>
          </w:p>
        </w:tc>
        <w:tc>
          <w:tcPr>
            <w:tcW w:w="2505" w:type="dxa"/>
            <w:gridSpan w:val="2"/>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3B2/B1</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6</w:t>
            </w:r>
          </w:p>
        </w:tc>
      </w:tr>
      <w:tr w:rsidR="00B66048" w:rsidRPr="009C2C6E" w:rsidTr="00C90F0C">
        <w:trPr>
          <w:cantSplit/>
          <w:trHeight w:val="254"/>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Matematika</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4</w:t>
            </w: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w:t>
            </w:r>
            <w:r>
              <w:t>*</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5</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t>9</w:t>
            </w:r>
          </w:p>
        </w:tc>
      </w:tr>
      <w:tr w:rsidR="00B66048" w:rsidRPr="009C2C6E" w:rsidTr="00C90F0C">
        <w:trPr>
          <w:cantSplit/>
          <w:trHeight w:val="243"/>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 xml:space="preserve">Istorija </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2*</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w:t>
            </w: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2*</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6</w:t>
            </w:r>
          </w:p>
        </w:tc>
      </w:tr>
      <w:tr w:rsidR="00B66048" w:rsidRPr="009C2C6E" w:rsidTr="00C90F0C">
        <w:trPr>
          <w:cantSplit/>
          <w:trHeight w:val="237"/>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Biologija</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t>2*</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w:t>
            </w: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t>6</w:t>
            </w:r>
          </w:p>
        </w:tc>
      </w:tr>
      <w:tr w:rsidR="00B66048" w:rsidRPr="009C2C6E" w:rsidTr="00C90F0C">
        <w:trPr>
          <w:cantSplit/>
          <w:trHeight w:val="242"/>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Chemija</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2**</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w:t>
            </w: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2**</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0,30</w:t>
            </w:r>
          </w:p>
        </w:tc>
      </w:tr>
      <w:tr w:rsidR="00B66048" w:rsidRPr="009C2C6E" w:rsidTr="00C90F0C">
        <w:trPr>
          <w:cantSplit/>
          <w:trHeight w:val="231"/>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 xml:space="preserve">Fizika </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2</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t>2</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t>-</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t>4</w:t>
            </w:r>
          </w:p>
        </w:tc>
      </w:tr>
      <w:tr w:rsidR="00B66048" w:rsidRPr="009C2C6E" w:rsidTr="00C90F0C">
        <w:trPr>
          <w:cantSplit/>
          <w:trHeight w:val="231"/>
          <w:jc w:val="center"/>
        </w:trPr>
        <w:tc>
          <w:tcPr>
            <w:tcW w:w="3117" w:type="dxa"/>
            <w:tcBorders>
              <w:top w:val="single" w:sz="4" w:space="0" w:color="auto"/>
              <w:left w:val="single" w:sz="4" w:space="0" w:color="auto"/>
              <w:bottom w:val="single" w:sz="4" w:space="0" w:color="auto"/>
              <w:right w:val="single" w:sz="4" w:space="0" w:color="auto"/>
            </w:tcBorders>
            <w:vAlign w:val="center"/>
          </w:tcPr>
          <w:p w:rsidR="00B66048" w:rsidRPr="009C2C6E" w:rsidRDefault="00B66048" w:rsidP="00C90F0C">
            <w:r w:rsidRPr="009C2C6E">
              <w:t>Informacinės technologijos</w:t>
            </w:r>
          </w:p>
        </w:tc>
        <w:tc>
          <w:tcPr>
            <w:tcW w:w="1170"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1</w:t>
            </w:r>
          </w:p>
        </w:tc>
        <w:tc>
          <w:tcPr>
            <w:tcW w:w="109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w:t>
            </w:r>
          </w:p>
        </w:tc>
        <w:tc>
          <w:tcPr>
            <w:tcW w:w="1276"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1</w:t>
            </w:r>
          </w:p>
        </w:tc>
        <w:tc>
          <w:tcPr>
            <w:tcW w:w="1229"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w:t>
            </w:r>
          </w:p>
        </w:tc>
        <w:tc>
          <w:tcPr>
            <w:tcW w:w="150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2</w:t>
            </w:r>
          </w:p>
        </w:tc>
      </w:tr>
      <w:tr w:rsidR="00B66048" w:rsidRPr="009C2C6E" w:rsidTr="00C90F0C">
        <w:trPr>
          <w:cantSplit/>
          <w:trHeight w:val="222"/>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t>Muzika</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2</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w:t>
            </w: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2</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4</w:t>
            </w:r>
          </w:p>
        </w:tc>
      </w:tr>
      <w:tr w:rsidR="00B66048" w:rsidRPr="009C2C6E" w:rsidTr="00C90F0C">
        <w:trPr>
          <w:cantSplit/>
          <w:trHeight w:val="222"/>
          <w:jc w:val="center"/>
        </w:trPr>
        <w:tc>
          <w:tcPr>
            <w:tcW w:w="3117" w:type="dxa"/>
            <w:tcBorders>
              <w:top w:val="single" w:sz="4" w:space="0" w:color="auto"/>
              <w:left w:val="single" w:sz="4" w:space="0" w:color="auto"/>
              <w:bottom w:val="single" w:sz="4" w:space="0" w:color="auto"/>
              <w:right w:val="single" w:sz="4" w:space="0" w:color="auto"/>
            </w:tcBorders>
            <w:vAlign w:val="center"/>
          </w:tcPr>
          <w:p w:rsidR="00B66048" w:rsidRPr="009C2C6E" w:rsidRDefault="00B66048" w:rsidP="00C90F0C">
            <w:r w:rsidRPr="009C2C6E">
              <w:t>Taikomasis menas, amatai ir dizainas</w:t>
            </w:r>
          </w:p>
        </w:tc>
        <w:tc>
          <w:tcPr>
            <w:tcW w:w="1170"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t>2</w:t>
            </w:r>
          </w:p>
        </w:tc>
        <w:tc>
          <w:tcPr>
            <w:tcW w:w="109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w:t>
            </w:r>
          </w:p>
        </w:tc>
        <w:tc>
          <w:tcPr>
            <w:tcW w:w="1276"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t>-</w:t>
            </w:r>
          </w:p>
        </w:tc>
        <w:tc>
          <w:tcPr>
            <w:tcW w:w="1229"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w:t>
            </w:r>
          </w:p>
        </w:tc>
        <w:tc>
          <w:tcPr>
            <w:tcW w:w="150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t>2</w:t>
            </w:r>
          </w:p>
        </w:tc>
      </w:tr>
      <w:tr w:rsidR="00B66048" w:rsidRPr="009C2C6E" w:rsidTr="00C90F0C">
        <w:trPr>
          <w:cantSplit/>
          <w:trHeight w:val="222"/>
          <w:jc w:val="center"/>
        </w:trPr>
        <w:tc>
          <w:tcPr>
            <w:tcW w:w="3117" w:type="dxa"/>
            <w:tcBorders>
              <w:top w:val="single" w:sz="4" w:space="0" w:color="auto"/>
              <w:left w:val="single" w:sz="4" w:space="0" w:color="auto"/>
              <w:bottom w:val="single" w:sz="4" w:space="0" w:color="auto"/>
              <w:right w:val="single" w:sz="4" w:space="0" w:color="auto"/>
            </w:tcBorders>
            <w:vAlign w:val="center"/>
          </w:tcPr>
          <w:p w:rsidR="00B66048" w:rsidRPr="009C2C6E" w:rsidRDefault="00B66048" w:rsidP="00C90F0C">
            <w:r>
              <w:t>Statyba ir medžio apdirbimas</w:t>
            </w:r>
          </w:p>
        </w:tc>
        <w:tc>
          <w:tcPr>
            <w:tcW w:w="1170" w:type="dxa"/>
            <w:tcBorders>
              <w:top w:val="single" w:sz="4" w:space="0" w:color="auto"/>
              <w:left w:val="single" w:sz="4" w:space="0" w:color="auto"/>
              <w:bottom w:val="single" w:sz="4" w:space="0" w:color="auto"/>
              <w:right w:val="single" w:sz="4" w:space="0" w:color="auto"/>
            </w:tcBorders>
          </w:tcPr>
          <w:p w:rsidR="00B66048" w:rsidRDefault="00B66048" w:rsidP="00C90F0C">
            <w:pPr>
              <w:jc w:val="center"/>
            </w:pPr>
            <w:r>
              <w:t>2</w:t>
            </w:r>
          </w:p>
        </w:tc>
        <w:tc>
          <w:tcPr>
            <w:tcW w:w="109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B66048" w:rsidRDefault="00B66048" w:rsidP="00C90F0C">
            <w:pPr>
              <w:jc w:val="center"/>
            </w:pPr>
            <w:r>
              <w:t>2</w:t>
            </w:r>
          </w:p>
        </w:tc>
        <w:tc>
          <w:tcPr>
            <w:tcW w:w="1229"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t>-</w:t>
            </w:r>
          </w:p>
        </w:tc>
        <w:tc>
          <w:tcPr>
            <w:tcW w:w="1505" w:type="dxa"/>
            <w:tcBorders>
              <w:top w:val="single" w:sz="4" w:space="0" w:color="auto"/>
              <w:left w:val="single" w:sz="4" w:space="0" w:color="auto"/>
              <w:bottom w:val="single" w:sz="4" w:space="0" w:color="auto"/>
              <w:right w:val="single" w:sz="4" w:space="0" w:color="auto"/>
            </w:tcBorders>
          </w:tcPr>
          <w:p w:rsidR="00B66048" w:rsidRDefault="00B66048" w:rsidP="00C90F0C">
            <w:pPr>
              <w:jc w:val="center"/>
            </w:pPr>
            <w:r>
              <w:t>4</w:t>
            </w:r>
          </w:p>
        </w:tc>
      </w:tr>
      <w:tr w:rsidR="00B66048" w:rsidRPr="009C2C6E" w:rsidTr="00C90F0C">
        <w:trPr>
          <w:cantSplit/>
          <w:trHeight w:val="275"/>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t>Fizinis ugdymas</w:t>
            </w:r>
          </w:p>
        </w:tc>
        <w:tc>
          <w:tcPr>
            <w:tcW w:w="1170"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w:t>
            </w:r>
          </w:p>
        </w:tc>
        <w:tc>
          <w:tcPr>
            <w:tcW w:w="109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w:t>
            </w:r>
          </w:p>
        </w:tc>
        <w:tc>
          <w:tcPr>
            <w:tcW w:w="1276"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3</w:t>
            </w:r>
          </w:p>
        </w:tc>
        <w:tc>
          <w:tcPr>
            <w:tcW w:w="1229"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6</w:t>
            </w:r>
          </w:p>
        </w:tc>
      </w:tr>
      <w:tr w:rsidR="00B66048" w:rsidRPr="009C2C6E" w:rsidTr="00C90F0C">
        <w:trPr>
          <w:cantSplit/>
          <w:trHeight w:val="279"/>
          <w:jc w:val="center"/>
        </w:trPr>
        <w:tc>
          <w:tcPr>
            <w:tcW w:w="9392" w:type="dxa"/>
            <w:gridSpan w:val="6"/>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rPr>
                <w:i/>
              </w:rPr>
              <w:t>Pasirenkamieji dalykai:</w:t>
            </w:r>
          </w:p>
        </w:tc>
      </w:tr>
      <w:tr w:rsidR="00B66048" w:rsidRPr="009C2C6E" w:rsidTr="00C90F0C">
        <w:trPr>
          <w:cantSplit/>
          <w:trHeight w:val="269"/>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rPr>
                <w:rFonts w:eastAsia="Calibri"/>
                <w:lang w:eastAsia="en-GB"/>
              </w:rPr>
              <w:t>Karjeros planavimo pagrindai</w:t>
            </w:r>
          </w:p>
        </w:tc>
        <w:tc>
          <w:tcPr>
            <w:tcW w:w="2265" w:type="dxa"/>
            <w:gridSpan w:val="2"/>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1</w:t>
            </w:r>
          </w:p>
        </w:tc>
        <w:tc>
          <w:tcPr>
            <w:tcW w:w="2505" w:type="dxa"/>
            <w:gridSpan w:val="2"/>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1</w:t>
            </w:r>
          </w:p>
        </w:tc>
        <w:tc>
          <w:tcPr>
            <w:tcW w:w="1505" w:type="dxa"/>
            <w:tcBorders>
              <w:top w:val="single" w:sz="4" w:space="0" w:color="auto"/>
              <w:left w:val="single" w:sz="4" w:space="0" w:color="auto"/>
              <w:bottom w:val="single" w:sz="4" w:space="0" w:color="auto"/>
              <w:right w:val="single" w:sz="4" w:space="0" w:color="auto"/>
            </w:tcBorders>
            <w:hideMark/>
          </w:tcPr>
          <w:p w:rsidR="00B66048" w:rsidRPr="009C2C6E" w:rsidRDefault="00B66048" w:rsidP="00C90F0C">
            <w:pPr>
              <w:jc w:val="center"/>
            </w:pPr>
            <w:r w:rsidRPr="009C2C6E">
              <w:t>2</w:t>
            </w:r>
          </w:p>
        </w:tc>
      </w:tr>
      <w:tr w:rsidR="00B66048" w:rsidRPr="009C2C6E" w:rsidTr="00C90F0C">
        <w:trPr>
          <w:cantSplit/>
          <w:trHeight w:val="269"/>
          <w:jc w:val="center"/>
        </w:trPr>
        <w:tc>
          <w:tcPr>
            <w:tcW w:w="3117" w:type="dxa"/>
            <w:tcBorders>
              <w:top w:val="single" w:sz="4" w:space="0" w:color="auto"/>
              <w:left w:val="single" w:sz="4" w:space="0" w:color="auto"/>
              <w:bottom w:val="single" w:sz="4" w:space="0" w:color="auto"/>
              <w:right w:val="single" w:sz="4" w:space="0" w:color="auto"/>
            </w:tcBorders>
            <w:vAlign w:val="center"/>
          </w:tcPr>
          <w:p w:rsidR="00B66048" w:rsidRPr="009C2C6E" w:rsidRDefault="00B66048" w:rsidP="00C90F0C">
            <w:pPr>
              <w:rPr>
                <w:rFonts w:eastAsia="Calibri"/>
                <w:lang w:eastAsia="en-GB"/>
              </w:rPr>
            </w:pPr>
            <w:r>
              <w:rPr>
                <w:rFonts w:eastAsia="Calibri"/>
                <w:lang w:eastAsia="en-GB"/>
              </w:rPr>
              <w:t>Žemė ir laikas</w:t>
            </w:r>
          </w:p>
        </w:tc>
        <w:tc>
          <w:tcPr>
            <w:tcW w:w="2265" w:type="dxa"/>
            <w:gridSpan w:val="2"/>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t>-</w:t>
            </w:r>
          </w:p>
        </w:tc>
        <w:tc>
          <w:tcPr>
            <w:tcW w:w="2505" w:type="dxa"/>
            <w:gridSpan w:val="2"/>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t>1</w:t>
            </w:r>
          </w:p>
        </w:tc>
        <w:tc>
          <w:tcPr>
            <w:tcW w:w="150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t>1</w:t>
            </w:r>
          </w:p>
        </w:tc>
      </w:tr>
      <w:tr w:rsidR="00B66048" w:rsidRPr="009C2C6E" w:rsidTr="00C90F0C">
        <w:trPr>
          <w:cantSplit/>
          <w:trHeight w:val="269"/>
          <w:jc w:val="center"/>
        </w:trPr>
        <w:tc>
          <w:tcPr>
            <w:tcW w:w="3117" w:type="dxa"/>
            <w:tcBorders>
              <w:top w:val="single" w:sz="4" w:space="0" w:color="auto"/>
              <w:left w:val="single" w:sz="4" w:space="0" w:color="auto"/>
              <w:bottom w:val="single" w:sz="4" w:space="0" w:color="auto"/>
              <w:right w:val="single" w:sz="4" w:space="0" w:color="auto"/>
            </w:tcBorders>
            <w:vAlign w:val="center"/>
          </w:tcPr>
          <w:p w:rsidR="00B66048" w:rsidRPr="009C2C6E" w:rsidRDefault="00B66048" w:rsidP="00C90F0C">
            <w:pPr>
              <w:rPr>
                <w:rFonts w:eastAsia="Calibri"/>
                <w:lang w:eastAsia="en-GB"/>
              </w:rPr>
            </w:pPr>
            <w:r w:rsidRPr="009C2C6E">
              <w:rPr>
                <w:rFonts w:eastAsia="Calibri"/>
                <w:lang w:eastAsia="en-GB"/>
              </w:rPr>
              <w:t>Žmogaus sauga</w:t>
            </w:r>
          </w:p>
        </w:tc>
        <w:tc>
          <w:tcPr>
            <w:tcW w:w="2265" w:type="dxa"/>
            <w:gridSpan w:val="2"/>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0,5***</w:t>
            </w:r>
          </w:p>
        </w:tc>
        <w:tc>
          <w:tcPr>
            <w:tcW w:w="2505" w:type="dxa"/>
            <w:gridSpan w:val="2"/>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0,5***</w:t>
            </w:r>
          </w:p>
        </w:tc>
        <w:tc>
          <w:tcPr>
            <w:tcW w:w="150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w:t>
            </w:r>
          </w:p>
        </w:tc>
      </w:tr>
      <w:tr w:rsidR="00B66048" w:rsidRPr="009C2C6E" w:rsidTr="00C90F0C">
        <w:trPr>
          <w:cantSplit/>
          <w:trHeight w:val="260"/>
          <w:jc w:val="center"/>
        </w:trPr>
        <w:tc>
          <w:tcPr>
            <w:tcW w:w="9392" w:type="dxa"/>
            <w:gridSpan w:val="6"/>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r w:rsidRPr="009C2C6E">
              <w:rPr>
                <w:i/>
              </w:rPr>
              <w:t>Dalykų moduliai:</w:t>
            </w:r>
          </w:p>
        </w:tc>
      </w:tr>
      <w:tr w:rsidR="00B66048" w:rsidRPr="009C2C6E" w:rsidTr="00C90F0C">
        <w:trPr>
          <w:trHeight w:val="527"/>
          <w:jc w:val="center"/>
        </w:trPr>
        <w:tc>
          <w:tcPr>
            <w:tcW w:w="3117"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rPr>
                <w:lang w:eastAsia="en-GB"/>
              </w:rPr>
            </w:pPr>
            <w:r>
              <w:t xml:space="preserve">Anglų kalbos modulis </w:t>
            </w:r>
            <w:r w:rsidRPr="008B47DB">
              <w:t>„Tobulink rašymo įgūdžius“</w:t>
            </w:r>
          </w:p>
        </w:tc>
        <w:tc>
          <w:tcPr>
            <w:tcW w:w="4770" w:type="dxa"/>
            <w:gridSpan w:val="4"/>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1</w:t>
            </w:r>
          </w:p>
        </w:tc>
        <w:tc>
          <w:tcPr>
            <w:tcW w:w="150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pPr>
            <w:r w:rsidRPr="009C2C6E">
              <w:t>1</w:t>
            </w:r>
          </w:p>
        </w:tc>
      </w:tr>
      <w:tr w:rsidR="00B66048" w:rsidRPr="009C2C6E" w:rsidTr="00C90F0C">
        <w:trPr>
          <w:cantSplit/>
          <w:trHeight w:val="199"/>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66048" w:rsidRPr="009C2C6E" w:rsidRDefault="00B66048" w:rsidP="00C90F0C">
            <w:pPr>
              <w:rPr>
                <w:b/>
              </w:rPr>
            </w:pPr>
            <w:r w:rsidRPr="009C2C6E">
              <w:rPr>
                <w:b/>
              </w:rPr>
              <w:t>Klasėje tarifikuojamų valandų skaičius</w:t>
            </w:r>
          </w:p>
        </w:tc>
        <w:tc>
          <w:tcPr>
            <w:tcW w:w="2265" w:type="dxa"/>
            <w:gridSpan w:val="2"/>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rPr>
                <w:b/>
              </w:rPr>
            </w:pPr>
            <w:r>
              <w:rPr>
                <w:b/>
              </w:rPr>
              <w:t>41,65</w:t>
            </w:r>
          </w:p>
        </w:tc>
        <w:tc>
          <w:tcPr>
            <w:tcW w:w="2505" w:type="dxa"/>
            <w:gridSpan w:val="2"/>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rPr>
                <w:b/>
              </w:rPr>
            </w:pPr>
            <w:r>
              <w:rPr>
                <w:b/>
              </w:rPr>
              <w:t>42,65</w:t>
            </w:r>
          </w:p>
        </w:tc>
        <w:tc>
          <w:tcPr>
            <w:tcW w:w="1505" w:type="dxa"/>
            <w:tcBorders>
              <w:top w:val="single" w:sz="4" w:space="0" w:color="auto"/>
              <w:left w:val="single" w:sz="4" w:space="0" w:color="auto"/>
              <w:bottom w:val="single" w:sz="4" w:space="0" w:color="auto"/>
              <w:right w:val="single" w:sz="4" w:space="0" w:color="auto"/>
            </w:tcBorders>
          </w:tcPr>
          <w:p w:rsidR="00B66048" w:rsidRPr="009C2C6E" w:rsidRDefault="00B66048" w:rsidP="00C90F0C">
            <w:pPr>
              <w:jc w:val="center"/>
              <w:rPr>
                <w:b/>
              </w:rPr>
            </w:pPr>
            <w:r>
              <w:rPr>
                <w:b/>
              </w:rPr>
              <w:t>84,30</w:t>
            </w:r>
          </w:p>
        </w:tc>
      </w:tr>
    </w:tbl>
    <w:p w:rsidR="00B66048" w:rsidRPr="008B47DB" w:rsidRDefault="00B66048" w:rsidP="00B66048">
      <w:r>
        <w:t xml:space="preserve">      </w:t>
      </w:r>
      <w:r w:rsidRPr="008B47DB">
        <w:t xml:space="preserve"> * mokosi kartu (bendras ir išplėstinis kursas)</w:t>
      </w:r>
    </w:p>
    <w:p w:rsidR="00B66048" w:rsidRPr="008B47DB" w:rsidRDefault="00B66048" w:rsidP="00B66048">
      <w:r w:rsidRPr="008B47DB">
        <w:t xml:space="preserve">       ** savarankiškas darbas</w:t>
      </w:r>
    </w:p>
    <w:p w:rsidR="00653A4E" w:rsidRDefault="00B66048">
      <w:r w:rsidRPr="008B47DB">
        <w:t xml:space="preserve">       *** integruojama į ugdymo turinį</w:t>
      </w:r>
      <w:bookmarkStart w:id="6" w:name="_GoBack"/>
      <w:bookmarkEnd w:id="6"/>
    </w:p>
    <w:sectPr w:rsidR="00653A4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562CC"/>
    <w:multiLevelType w:val="multilevel"/>
    <w:tmpl w:val="8E3C352E"/>
    <w:lvl w:ilvl="0">
      <w:start w:val="1"/>
      <w:numFmt w:val="decimal"/>
      <w:lvlText w:val="%1."/>
      <w:lvlJc w:val="left"/>
      <w:pPr>
        <w:ind w:left="502" w:hanging="360"/>
      </w:pPr>
      <w:rPr>
        <w:b w:val="0"/>
        <w:color w:val="auto"/>
        <w:sz w:val="22"/>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48"/>
    <w:rsid w:val="00653A4E"/>
    <w:rsid w:val="00B660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5110"/>
  <w15:chartTrackingRefBased/>
  <w15:docId w15:val="{9645B7BD-7935-475C-BA46-F6909639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6048"/>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B66048"/>
    <w:pPr>
      <w:keepNext/>
      <w:spacing w:before="240" w:after="60"/>
      <w:outlineLvl w:val="1"/>
    </w:pPr>
    <w:rPr>
      <w:rFonts w:ascii="Arial" w:hAnsi="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B66048"/>
    <w:rPr>
      <w:rFonts w:ascii="Arial" w:eastAsia="Times New Roman" w:hAnsi="Arial" w:cs="Times New Roman"/>
      <w:b/>
      <w:bCs/>
      <w:i/>
      <w:iCs/>
      <w:sz w:val="28"/>
      <w:szCs w:val="28"/>
      <w:lang w:eastAsia="lt-LT"/>
    </w:rPr>
  </w:style>
  <w:style w:type="paragraph" w:styleId="Betarp">
    <w:name w:val="No Spacing"/>
    <w:qFormat/>
    <w:rsid w:val="00B660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3049</Words>
  <Characters>1738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2021-02-15T12:02:00Z</dcterms:created>
  <dcterms:modified xsi:type="dcterms:W3CDTF">2021-02-15T12:03:00Z</dcterms:modified>
</cp:coreProperties>
</file>