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59" w:rsidRDefault="003D371F" w:rsidP="003D371F">
      <w:pPr>
        <w:jc w:val="center"/>
      </w:pPr>
      <w:r w:rsidRPr="003D371F">
        <w:rPr>
          <w:b/>
        </w:rPr>
        <w:t>BENDROJO UGDYMO MOKYKLOS VEIKLOS KOKYBĖS ĮSIVERTINIMO SRITYS, TEMOS,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382"/>
        <w:gridCol w:w="2904"/>
        <w:gridCol w:w="8447"/>
      </w:tblGrid>
      <w:tr w:rsidR="000E3369" w:rsidRPr="00A60ECA" w:rsidTr="00132CB7">
        <w:tc>
          <w:tcPr>
            <w:tcW w:w="1655" w:type="dxa"/>
            <w:shd w:val="clear" w:color="auto" w:fill="auto"/>
          </w:tcPr>
          <w:p w:rsidR="003D371F" w:rsidRPr="00A60ECA" w:rsidRDefault="003D371F" w:rsidP="00A60ECA">
            <w:pPr>
              <w:pStyle w:val="NoSpacing"/>
              <w:rPr>
                <w:sz w:val="20"/>
                <w:szCs w:val="20"/>
              </w:rPr>
            </w:pPr>
            <w:r w:rsidRPr="00A60ECA">
              <w:rPr>
                <w:sz w:val="20"/>
                <w:szCs w:val="20"/>
              </w:rPr>
              <w:t>SRITIS</w:t>
            </w:r>
          </w:p>
        </w:tc>
        <w:tc>
          <w:tcPr>
            <w:tcW w:w="2382" w:type="dxa"/>
            <w:shd w:val="clear" w:color="auto" w:fill="auto"/>
          </w:tcPr>
          <w:p w:rsidR="003D371F" w:rsidRPr="00A60ECA" w:rsidRDefault="003D371F" w:rsidP="00A60ECA">
            <w:pPr>
              <w:pStyle w:val="NoSpacing"/>
              <w:rPr>
                <w:sz w:val="20"/>
                <w:szCs w:val="20"/>
              </w:rPr>
            </w:pPr>
            <w:r w:rsidRPr="00A60ECA">
              <w:rPr>
                <w:sz w:val="20"/>
                <w:szCs w:val="20"/>
              </w:rPr>
              <w:t>TEMOS</w:t>
            </w:r>
          </w:p>
        </w:tc>
        <w:tc>
          <w:tcPr>
            <w:tcW w:w="2904" w:type="dxa"/>
            <w:shd w:val="clear" w:color="auto" w:fill="auto"/>
          </w:tcPr>
          <w:p w:rsidR="003D371F" w:rsidRPr="00A60ECA" w:rsidRDefault="003D371F" w:rsidP="00A60ECA">
            <w:pPr>
              <w:pStyle w:val="NoSpacing"/>
              <w:rPr>
                <w:sz w:val="20"/>
                <w:szCs w:val="20"/>
              </w:rPr>
            </w:pPr>
            <w:r w:rsidRPr="00A60ECA">
              <w:rPr>
                <w:sz w:val="20"/>
                <w:szCs w:val="20"/>
              </w:rPr>
              <w:t>VEIKLOS RODIKLIAI</w:t>
            </w:r>
          </w:p>
        </w:tc>
        <w:tc>
          <w:tcPr>
            <w:tcW w:w="8447" w:type="dxa"/>
            <w:shd w:val="clear" w:color="auto" w:fill="auto"/>
          </w:tcPr>
          <w:p w:rsidR="003D371F" w:rsidRPr="00A60ECA" w:rsidRDefault="003D371F" w:rsidP="00A60ECA">
            <w:pPr>
              <w:pStyle w:val="NoSpacing"/>
              <w:rPr>
                <w:sz w:val="20"/>
                <w:szCs w:val="20"/>
              </w:rPr>
            </w:pPr>
            <w:r w:rsidRPr="00A60ECA">
              <w:rPr>
                <w:sz w:val="20"/>
                <w:szCs w:val="20"/>
              </w:rPr>
              <w:t>RODIKLIŲ PAAIŠKINIMAI</w:t>
            </w:r>
          </w:p>
        </w:tc>
      </w:tr>
      <w:tr w:rsidR="000E3369" w:rsidRPr="00A60ECA" w:rsidTr="00132CB7">
        <w:tc>
          <w:tcPr>
            <w:tcW w:w="1655" w:type="dxa"/>
            <w:vMerge w:val="restart"/>
            <w:shd w:val="clear" w:color="auto" w:fill="auto"/>
          </w:tcPr>
          <w:p w:rsidR="007F2A65" w:rsidRPr="00A60ECA" w:rsidRDefault="007F2A65" w:rsidP="00A60ECA">
            <w:pPr>
              <w:pStyle w:val="NoSpacing"/>
              <w:jc w:val="both"/>
              <w:rPr>
                <w:sz w:val="16"/>
                <w:szCs w:val="16"/>
              </w:rPr>
            </w:pPr>
            <w:r w:rsidRPr="00A60ECA">
              <w:rPr>
                <w:sz w:val="16"/>
                <w:szCs w:val="16"/>
              </w:rPr>
              <w:t>1. Rezultatai</w:t>
            </w:r>
          </w:p>
        </w:tc>
        <w:tc>
          <w:tcPr>
            <w:tcW w:w="2382" w:type="dxa"/>
            <w:shd w:val="clear" w:color="auto" w:fill="auto"/>
          </w:tcPr>
          <w:p w:rsidR="007F2A65" w:rsidRPr="00A60ECA" w:rsidRDefault="007F2A65" w:rsidP="00A60ECA">
            <w:pPr>
              <w:pStyle w:val="NoSpacing"/>
              <w:jc w:val="both"/>
              <w:rPr>
                <w:sz w:val="16"/>
                <w:szCs w:val="16"/>
              </w:rPr>
            </w:pPr>
            <w:r w:rsidRPr="00A60ECA">
              <w:rPr>
                <w:sz w:val="16"/>
                <w:szCs w:val="16"/>
              </w:rPr>
              <w:t>1.1. Asmenybės branda</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1.1.1. Asmenybės tapsmas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Savivoka ir aspiracijos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Mokiniai suvokia savo asmenybės unikalumą, žino savo gabumus ir polinkius, moka įsivertinti kompetencijas. Jie supranta žinių ir mokymosi vertę, turi tolesnio mokymosi siekių ir planų. Mokiniai pasitiki savo jėgomis, nebijo iššūkių – juos priima kaip naujas mokymosi bei veiklos galimybes, yra sveikai ambicingi ir atkaklūs.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Socialumas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Mokiniai nori ir moka bendrauti, bendradarbiauti, dalyvauti bendrose veiklose, prisiimti atsakomybę, konstruktyviai spręsti konfliktus. Jie pripažįsta kitų teisę būti kitokiems nei jie yra, gerbia kitą asmenį ir yra geranoriški. Mokiniams rūpi jų aplinkos, bendruomenės, šalies gerovė ir jie prisideda ją kuriant.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Gyvenimo planavimas </w:t>
            </w:r>
          </w:p>
          <w:p w:rsidR="007F2A65" w:rsidRPr="00A60ECA" w:rsidRDefault="007F2A65" w:rsidP="00A60ECA">
            <w:pPr>
              <w:pStyle w:val="NoSpacing"/>
              <w:jc w:val="both"/>
              <w:rPr>
                <w:sz w:val="16"/>
                <w:szCs w:val="16"/>
              </w:rPr>
            </w:pPr>
            <w:r w:rsidRPr="00A60ECA">
              <w:rPr>
                <w:sz w:val="16"/>
                <w:szCs w:val="16"/>
              </w:rPr>
              <w:t xml:space="preserve">Mokiniai 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savo mokymosi galimybėmis. Jie geba tikslingai ir pagrįstai pasirinkti ugdymosi sritis ir/ar mokomuosius dalykus vyresnėse klasėse.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val="restart"/>
            <w:shd w:val="clear" w:color="auto" w:fill="auto"/>
          </w:tcPr>
          <w:p w:rsidR="007F2A65" w:rsidRPr="00A60ECA" w:rsidRDefault="007F2A65" w:rsidP="00A60ECA">
            <w:pPr>
              <w:pStyle w:val="NoSpacing"/>
              <w:jc w:val="both"/>
              <w:rPr>
                <w:sz w:val="16"/>
                <w:szCs w:val="16"/>
              </w:rPr>
            </w:pPr>
            <w:r w:rsidRPr="00A60ECA">
              <w:rPr>
                <w:sz w:val="16"/>
                <w:szCs w:val="16"/>
              </w:rPr>
              <w:t>1.2. Pasiekimai ir pažanga</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 xml:space="preserve">1.2.1. </w:t>
            </w:r>
            <w:r w:rsidRPr="00A60ECA">
              <w:rPr>
                <w:bCs/>
                <w:sz w:val="16"/>
                <w:szCs w:val="16"/>
              </w:rPr>
              <w:t xml:space="preserve">Mokinio pasiekimai ir pažanga </w:t>
            </w:r>
          </w:p>
          <w:p w:rsidR="007F2A65" w:rsidRPr="00A60ECA" w:rsidRDefault="007F2A65" w:rsidP="00A60ECA">
            <w:pPr>
              <w:pStyle w:val="NoSpacing"/>
              <w:jc w:val="both"/>
              <w:rPr>
                <w:sz w:val="16"/>
                <w:szCs w:val="16"/>
              </w:rPr>
            </w:pP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Optimalumas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Kiekvieno mokinio įgytų bendrųjų ir dalykinių kompetencijų lygis optimalus, t. y. atitinkantis jo amžiaus grupei keliamus tikslus ir individualias galias, siekius bei ugdymosi patirtį. Tolesnio ugdymosi uždaviniai, pasiekimų ir pažangos planavimas grindžiami informacija apie mokinio žinių ir gebėjimų lygį, jo pasiekimų įrodymais ir dialogu su mokiniu. Mokiniui keliami tikslai kuria jam nuolatinius iššūkius, reikalauja pastangų ir atkaklumo, tačiau negąsdina ir negniuždo.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i/>
                <w:iCs/>
                <w:sz w:val="16"/>
                <w:szCs w:val="16"/>
              </w:rPr>
              <w:t xml:space="preserve">Visybiškumas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Mokiniai turi būtinų bendrųjų ir dalykinių kompetencijų (</w:t>
            </w:r>
            <w:proofErr w:type="spellStart"/>
            <w:r w:rsidRPr="00A60ECA">
              <w:rPr>
                <w:rFonts w:ascii="Times New Roman" w:hAnsi="Times New Roman" w:cs="Times New Roman"/>
                <w:sz w:val="16"/>
                <w:szCs w:val="16"/>
              </w:rPr>
              <w:t>t.y</w:t>
            </w:r>
            <w:proofErr w:type="spellEnd"/>
            <w:r w:rsidRPr="00A60ECA">
              <w:rPr>
                <w:rFonts w:ascii="Times New Roman" w:hAnsi="Times New Roman" w:cs="Times New Roman"/>
                <w:sz w:val="16"/>
                <w:szCs w:val="16"/>
              </w:rPr>
              <w:t xml:space="preserve">. teorinių žinių bei supratimo, praktinių gebėjimų bei pozityvią vertybinę orientaciją) ir geba pagrįsti savo nuostatas, sprendimus, pasirinkimus. Mokinio pažanga įgyjant skirtingas bendrąsias ir dalykines kompetencijas gali būti nevienodai sparti, tačiau ji yra visuminė – nuolatinė visose mokyklinio ugdymo srityse.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Pažangos pastovumas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Pasiekimų asmeniškumas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Mokiniai turi ypatingų asmeninių mokymosi bei kitų veiklų – projektų, renginių, pilietinių iniciatyvų, savanorystės, karitatyvinės veiklos ir kt., būrelių, konkursų – pasiekimų (darbų ir kūrinių, gebėjimų, laimėjimų). Individualūs mokinio pasiekimai ir pastangos matomi, pripažįstami, skatinami.</w:t>
            </w:r>
            <w:r w:rsidRPr="00A60ECA">
              <w:rPr>
                <w:sz w:val="16"/>
                <w:szCs w:val="16"/>
              </w:rPr>
              <w:t xml:space="preserve">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1.2.2. Mokyklos pasiekimai ir pažanga</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Rezultatyvumas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Mokinių ugdymo(si) pasiekimai atitinka valstybės keliamus tikslus ir mokykloje besimokančių mokinių galias. Mokiniai, mokinių tėvai ir mokyklos absolventai patenkinti mokyklos indėliu ugdant asmenybes – tikslais, ugdymo būdais, rezultatais. Mokykla turi ypatingų, originalių (savitų) ugdymo pasiekimų.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Stebėsenos sistemingumas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Mokykloje analizuojami apibendrinti, susumuoti atskiro mokymosi laikotarpio ar mokymosi pagal tam tikrą programą rezultatai (kontrolinių ir kitų diagnostinio vertinimo užduočių, standartizuotų testų, PUPP, egzaminų, nacionalinių ir tarptautinių tyrimų). Sistemingai apmąstoma įvairių mokinių grupių, klasių pasiekimų dinamika, vertinamas kiekvieno mokytojo darbo poveikis ir mokyklos indėlis į mokinių pažangą.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Pažangos pagrįstumas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Mokytojai yra įvaldę įvairias vertinimo strategijas ir būdus, kuriuos naudoja kiekvieno mokinio išgalių gilesniam pažinimui, mokymosi proceso bei pažangos stebėjimui ir įvertinimui, savalaikiam mokinio mokymosi sunkumų diagnozavimui. Turima vertinimo informacija ir tyrimų duomenimis remiamasi nustatant prioritetinius ugdymo kokybės gerinimo mokykloje uždavinius, kuriant ir koreguojant mokyklos ugdymo turinį, pasirenkant mokymo(si) priemones ir metodus, planuojant mokytojų mokymąsi – vieniems iš kitų, drauge ar kitur.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Atskaitomybė </w:t>
            </w:r>
          </w:p>
          <w:p w:rsidR="007F2A65" w:rsidRPr="00A60ECA" w:rsidRDefault="007F2A65" w:rsidP="00A60ECA">
            <w:pPr>
              <w:pStyle w:val="NoSpacing"/>
              <w:jc w:val="both"/>
              <w:rPr>
                <w:sz w:val="16"/>
                <w:szCs w:val="16"/>
              </w:rPr>
            </w:pPr>
            <w:r w:rsidRPr="00A60ECA">
              <w:rPr>
                <w:sz w:val="16"/>
                <w:szCs w:val="16"/>
              </w:rPr>
              <w:t xml:space="preserve">Mokykla atsakingai teikia duomenis apie mokinių ir mokyklos pasiekimus įvairioms interesų grupėms: steigėjui, valstybei, mokinių tėvams, vietos bendruomenei. Mokinių ir mokyklos pasiekimų vertinimo rezultatais remiamasi informuojant tėvus ir visuomenę apie ugdymo(si) rezultatus ir kokybę (pvz., skelbiant mokyklos tinklalapyje, aptariant susirinkimų, susitikimų metu, teikiant žiniasklaidai). </w:t>
            </w:r>
          </w:p>
        </w:tc>
      </w:tr>
      <w:tr w:rsidR="000E3369" w:rsidRPr="00A60ECA" w:rsidTr="00132CB7">
        <w:tc>
          <w:tcPr>
            <w:tcW w:w="1655" w:type="dxa"/>
            <w:vMerge w:val="restart"/>
            <w:shd w:val="clear" w:color="auto" w:fill="auto"/>
          </w:tcPr>
          <w:p w:rsidR="007F2A65" w:rsidRPr="00A60ECA" w:rsidRDefault="007F2A65" w:rsidP="00A60ECA">
            <w:pPr>
              <w:pStyle w:val="NoSpacing"/>
              <w:jc w:val="both"/>
              <w:rPr>
                <w:sz w:val="16"/>
                <w:szCs w:val="16"/>
              </w:rPr>
            </w:pPr>
            <w:r w:rsidRPr="00A60ECA">
              <w:rPr>
                <w:sz w:val="16"/>
                <w:szCs w:val="16"/>
              </w:rPr>
              <w:lastRenderedPageBreak/>
              <w:t>2. Ugdymas(is) ir mokinių patirtys</w:t>
            </w:r>
          </w:p>
        </w:tc>
        <w:tc>
          <w:tcPr>
            <w:tcW w:w="2382" w:type="dxa"/>
            <w:vMerge w:val="restart"/>
            <w:shd w:val="clear" w:color="auto" w:fill="auto"/>
          </w:tcPr>
          <w:p w:rsidR="007F2A65" w:rsidRPr="00A60ECA" w:rsidRDefault="007F2A65" w:rsidP="00A60ECA">
            <w:pPr>
              <w:pStyle w:val="NoSpacing"/>
              <w:jc w:val="both"/>
              <w:rPr>
                <w:sz w:val="16"/>
                <w:szCs w:val="16"/>
              </w:rPr>
            </w:pPr>
            <w:r w:rsidRPr="00A60ECA">
              <w:rPr>
                <w:sz w:val="16"/>
                <w:szCs w:val="16"/>
              </w:rPr>
              <w:t>2.1. Planavimas</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2.1.1. Ugdymo tikslai</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Pagrįstumas ir sąryšingumas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Mokytojai žino, ko siekia ugdydami mokinius, ir geba siekius pagrįsti. Pamokos, veiklos, užduoties tikslai derinami su kompetencijų ir mokinio asmenybės ugdymo tikslais, trumpalaikiai tikslai – su ilgesnio laikotarpio (metų, programos) tikslais, mokyklos ugdymo tikslai – su savivaldybės ir nacionaliniais švietimo tikslais.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Kontekstualumas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Keldami ugdymo tikslus mokytojai atsižvelgia į mokinių socialinę ir kultūrinę patirtį, jų gyvenimo ir mokyklos veiklos kontekstą. Tikslai koreguojami kintant mokinio, klasės, mokyklos ir jos aplinkos poreikiams.</w:t>
            </w:r>
            <w:r w:rsidRPr="00A60ECA">
              <w:rPr>
                <w:sz w:val="16"/>
                <w:szCs w:val="16"/>
              </w:rPr>
              <w:t xml:space="preserve">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2.1.2. Ugdymo planai ir tvarkaraščiai</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Planų naudingumas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Ugdymas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Tvarkaraščių patogumas mokiniams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Mokyklos dienotvarkė, veiklų, renginių ir pamokų tvarkaraščiai sudaromi atsižvelgiant į ugdymo tikslus, mokymosi sudėtingumą bei tempą, įvairius mokymosi poreikius. Siekiama, kad jie būtų kuo patogesni ir naudingesni mokiniams.</w:t>
            </w:r>
            <w:r w:rsidRPr="00A60ECA">
              <w:rPr>
                <w:sz w:val="16"/>
                <w:szCs w:val="16"/>
              </w:rPr>
              <w:t xml:space="preserve">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2.1.3. Orientavimasis į mokinių poreikius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Poreikių pažinimas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Mokykloje sistemingai analizuojami mokinių ugdymosi poreikiai. Atliekami tyrimai, diagnostinio vertinimo rezultatai sudaro galimybę laiku atpažinti individualius ugdymosi poreikius, polinkius bei galimybes. Į tyrimų (diagnostinio vertinimo) rezultatus atsižvelgiama planuojant visų ir kiekvieno mokinio ugdymą (dalykų ir neformaliojo ugdymo veiklų pasiūlą, mokymosi veiklų diferencijavimą ir (ar) individualizavimą).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Pagalba mokiniui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Mokykloje aiškiai susitarta dėl paramos ar pagalbos teikimo mokiniams tvarkos. Kilus ugdymosi, psichologinių ar socialinių problemų bei grėsmių mokiniai visuomet ir laiku sulaukia tinkamos pagalbos. Teikdama pagalbą mokykla bendradarbiauja su visomis reikalingomis specializuotomis tarnybomis. Teikiant pagalbą užtikrinamas asmeninės informacijos konfidencialumas.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Gabumų ir talentų ugdymas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Mokytojai laiku pastebi ir tinkamai ugdo </w:t>
            </w:r>
            <w:r w:rsidRPr="00A60ECA">
              <w:rPr>
                <w:rFonts w:ascii="Times New Roman" w:hAnsi="Times New Roman" w:cs="Times New Roman"/>
                <w:i/>
                <w:iCs/>
                <w:sz w:val="16"/>
                <w:szCs w:val="16"/>
              </w:rPr>
              <w:t xml:space="preserve">kiekvieno </w:t>
            </w:r>
            <w:r w:rsidRPr="00A60ECA">
              <w:rPr>
                <w:rFonts w:ascii="Times New Roman" w:hAnsi="Times New Roman" w:cs="Times New Roman"/>
                <w:sz w:val="16"/>
                <w:szCs w:val="16"/>
              </w:rPr>
              <w:t xml:space="preserve">mokinio gabumus bei talentus. Ypatingų, bendraamžių lygį pranokstančių gabumų turintiems mokiniams kuriami specialūs ugdymosi iššūkiai ir ugdymo būdai. Ugdydama gabius mokinius mokykla bendradarbiauja su kitomis institucijomis, socialiniais partneriais. </w:t>
            </w:r>
          </w:p>
        </w:tc>
      </w:tr>
      <w:tr w:rsidR="000E3369" w:rsidRPr="00A60ECA" w:rsidTr="00132CB7">
        <w:tc>
          <w:tcPr>
            <w:tcW w:w="1655" w:type="dxa"/>
            <w:vMerge/>
            <w:tcBorders>
              <w:bottom w:val="nil"/>
            </w:tcBorders>
            <w:shd w:val="clear" w:color="auto" w:fill="auto"/>
          </w:tcPr>
          <w:p w:rsidR="007F2A65" w:rsidRPr="00A60ECA" w:rsidRDefault="007F2A65" w:rsidP="00A60ECA">
            <w:pPr>
              <w:pStyle w:val="NoSpacing"/>
              <w:jc w:val="both"/>
              <w:rPr>
                <w:sz w:val="16"/>
                <w:szCs w:val="16"/>
              </w:rPr>
            </w:pPr>
          </w:p>
        </w:tc>
        <w:tc>
          <w:tcPr>
            <w:tcW w:w="2382" w:type="dxa"/>
            <w:tcBorders>
              <w:bottom w:val="nil"/>
            </w:tcBorders>
            <w:shd w:val="clear" w:color="auto" w:fill="auto"/>
          </w:tcPr>
          <w:p w:rsidR="007F2A65" w:rsidRPr="00A60ECA" w:rsidRDefault="007F2A65" w:rsidP="00A60ECA">
            <w:pPr>
              <w:pStyle w:val="NoSpacing"/>
              <w:jc w:val="both"/>
              <w:rPr>
                <w:sz w:val="16"/>
                <w:szCs w:val="16"/>
              </w:rPr>
            </w:pPr>
            <w:r w:rsidRPr="00A60ECA">
              <w:rPr>
                <w:sz w:val="16"/>
                <w:szCs w:val="16"/>
              </w:rPr>
              <w:t>2.2. Vadovavimas mokymui(si)</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2.2.1. Mokymosi lūkesčiai ir mokinių skatinimas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Tikėjimas mokinio galiomis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Mokymosi džiaugsmas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Mokymosi įprasminimas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Mokytojas, pažindamas mokinių veiklos ir mokymosi motyvus, parenka ugdymo(si) metodus, formas ir užduotis taip, kad mokymasis jiems padėtų įgyti įvairios prasmingos patirties (stebėjimo, tyrinėjimo, eksperimentavimo, žaidimo, kūrybos, taip pat socialinių sąveikų) – ir būtų optimaliai gilus bei auginantis. Mokymasis siejamas su mokinių gyvenimo patirtimis, sudaromos sąlygos modeliuoti ar spręsti realaus pasaulio problemas, ugdytis realiam gyvenimui aktualius mąstymo ir veiklos gebėjimus. </w:t>
            </w:r>
          </w:p>
        </w:tc>
      </w:tr>
      <w:tr w:rsidR="000E3369" w:rsidRPr="00A60ECA" w:rsidTr="00132CB7">
        <w:tc>
          <w:tcPr>
            <w:tcW w:w="1655" w:type="dxa"/>
            <w:vMerge w:val="restart"/>
            <w:tcBorders>
              <w:top w:val="nil"/>
            </w:tcBorders>
            <w:shd w:val="clear" w:color="auto" w:fill="auto"/>
          </w:tcPr>
          <w:p w:rsidR="007F2A65" w:rsidRPr="00A60ECA" w:rsidRDefault="007F2A65" w:rsidP="00A60ECA">
            <w:pPr>
              <w:pStyle w:val="NoSpacing"/>
              <w:jc w:val="both"/>
              <w:rPr>
                <w:sz w:val="16"/>
                <w:szCs w:val="16"/>
              </w:rPr>
            </w:pPr>
          </w:p>
        </w:tc>
        <w:tc>
          <w:tcPr>
            <w:tcW w:w="2382" w:type="dxa"/>
            <w:tcBorders>
              <w:top w:val="nil"/>
            </w:tcBorders>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2.2.2. Mokymosi organizavimas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Diferencijavimas, individualizavimas, suasmeninimas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Mokytojai pripažįsta mokinių skirtybes (amžiaus tarpsnio, asmeniniai ir ugdymosi poreikiai, interesai, gebėjimai, mokymosi stiliai,), į kurias atsižvelgia organizuodami mokymą(si). Taikomi įvairūs nenuolatiniai mokinių pergrupavimo pagal jų mokymosi poreikius būdai. Siekiama suasmeninti mokymąsi, tai yra skatinamas aktyvus mokinių dalyvavimas keliant individualius, su kiekvieno mokymosi galimybėmis, interesais ir siekiais derančius ugdymosi tikslus, renkantis temas, užduotis, problemas, mokymosi būdus ir tempą.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Ugdymo integralumas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Siekiama prasmingos integracijos, mokymosi patirčių tarpdiscipliniškumo. Mokyklos ugdymo programų turinys integruojamas taikant įvairius modelius: asmenybinę ir sociokultūrinę, dalyko vidinę ar tarpdalykinę integraciją, prioritetinių ugdymo siekių (sveikos gyvensenos, saugos,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verslumo, karjeros ugdymo ir pan.) integravimą į bendrojo ugdymo dalykų bei neformaliojo ugdymo turinį, integraciją temos, problemos, metodo pagrindu ir kt. Siejamas formalus ir neformalus mokymasis, vykstantis tiek mokykloje, tiek ir už jos ribų, taip pat mokymasis ir kitos mokyklos inicijuojamos mokinių veiklos.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lastRenderedPageBreak/>
              <w:t xml:space="preserve">Įvairovė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Klasės valdymas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Mokinių elgesys valdomas aiškiomis, sutartomis taisyklėmis ir procedūromis, asmeniniu mokinio įsipareigojimu, savimonės ugdymu, pageidaujamo elgesio skatinimu, asmeniniu mokytojo pavyzdžiu. Siekiama drausmę ir tvarką palaikyti sutelkiant mokinių dėmesį į mokymąsi. Mokymasis vadovaujant mokytojams derinamas su savivaldžiu mokymusi ir klasės kaip savarankiškos besimokančios bendruomenės ugdymu. Mokomasi konstruktyviai, nekonfliktuojant ir neišsigąstant, įveikti mokymosi problemas ir trukdžius. </w:t>
            </w:r>
          </w:p>
        </w:tc>
      </w:tr>
      <w:tr w:rsidR="000E3369" w:rsidRPr="00A60ECA" w:rsidTr="00132CB7">
        <w:tc>
          <w:tcPr>
            <w:tcW w:w="1655" w:type="dxa"/>
            <w:vMerge/>
            <w:tcBorders>
              <w:top w:val="single" w:sz="4" w:space="0" w:color="auto"/>
              <w:bottom w:val="nil"/>
            </w:tcBorders>
            <w:shd w:val="clear" w:color="auto" w:fill="auto"/>
          </w:tcPr>
          <w:p w:rsidR="007F2A65" w:rsidRPr="00A60ECA" w:rsidRDefault="007F2A65" w:rsidP="00A60ECA">
            <w:pPr>
              <w:pStyle w:val="NoSpacing"/>
              <w:jc w:val="both"/>
              <w:rPr>
                <w:sz w:val="16"/>
                <w:szCs w:val="16"/>
              </w:rPr>
            </w:pPr>
          </w:p>
        </w:tc>
        <w:tc>
          <w:tcPr>
            <w:tcW w:w="2382" w:type="dxa"/>
            <w:tcBorders>
              <w:bottom w:val="nil"/>
            </w:tcBorders>
            <w:shd w:val="clear" w:color="auto" w:fill="auto"/>
          </w:tcPr>
          <w:p w:rsidR="007F2A65" w:rsidRPr="00A60ECA" w:rsidRDefault="007F2A65" w:rsidP="00A60ECA">
            <w:pPr>
              <w:pStyle w:val="NoSpacing"/>
              <w:jc w:val="both"/>
              <w:rPr>
                <w:sz w:val="16"/>
                <w:szCs w:val="16"/>
              </w:rPr>
            </w:pPr>
            <w:r w:rsidRPr="00A60ECA">
              <w:rPr>
                <w:sz w:val="16"/>
                <w:szCs w:val="16"/>
              </w:rPr>
              <w:t>2.3. Mokymosi patirtys</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2.3.1. Mokymasis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Savivaldumas mokantis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Padedant mokytojui/kartu su mokytoju, mokiniai geba kelti sau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portfolio, mokymosi dienoraščius). Reflektuodami individualią mokymosi patirtį mokiniai padeda mokytojams įvertinti mokymosi gilumą ir tinkamumą.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Mokymosi konstruktyvumas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Mokymosi socialumas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supratimą, sprendimus ar darbus. </w:t>
            </w:r>
          </w:p>
        </w:tc>
      </w:tr>
      <w:tr w:rsidR="000E3369" w:rsidRPr="00A60ECA" w:rsidTr="00132CB7">
        <w:tc>
          <w:tcPr>
            <w:tcW w:w="1655" w:type="dxa"/>
            <w:vMerge w:val="restart"/>
            <w:tcBorders>
              <w:top w:val="nil"/>
            </w:tcBorders>
            <w:shd w:val="clear" w:color="auto" w:fill="auto"/>
          </w:tcPr>
          <w:p w:rsidR="007F2A65" w:rsidRPr="00A60ECA" w:rsidRDefault="007F2A65" w:rsidP="00A60ECA">
            <w:pPr>
              <w:pStyle w:val="NoSpacing"/>
              <w:jc w:val="both"/>
              <w:rPr>
                <w:sz w:val="16"/>
                <w:szCs w:val="16"/>
              </w:rPr>
            </w:pPr>
          </w:p>
        </w:tc>
        <w:tc>
          <w:tcPr>
            <w:tcW w:w="2382" w:type="dxa"/>
            <w:tcBorders>
              <w:top w:val="nil"/>
            </w:tcBorders>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2.3.2. Ugdymas mokyklos gyvenimu</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Santykiai ir mokinių savijauta </w:t>
            </w:r>
          </w:p>
          <w:tbl>
            <w:tblPr>
              <w:tblW w:w="0" w:type="auto"/>
              <w:tblBorders>
                <w:top w:val="nil"/>
                <w:left w:val="nil"/>
                <w:bottom w:val="nil"/>
                <w:right w:val="nil"/>
              </w:tblBorders>
              <w:tblLook w:val="0000" w:firstRow="0" w:lastRow="0" w:firstColumn="0" w:lastColumn="0" w:noHBand="0" w:noVBand="0"/>
            </w:tblPr>
            <w:tblGrid>
              <w:gridCol w:w="8231"/>
            </w:tblGrid>
            <w:tr w:rsidR="007F2A65" w:rsidRPr="00E30655">
              <w:trPr>
                <w:trHeight w:val="2058"/>
              </w:trPr>
              <w:tc>
                <w:tcPr>
                  <w:tcW w:w="0" w:type="auto"/>
                </w:tcPr>
                <w:p w:rsidR="007F2A65" w:rsidRPr="00E30655" w:rsidRDefault="007F2A65" w:rsidP="007F2A65">
                  <w:pPr>
                    <w:pStyle w:val="Default"/>
                    <w:jc w:val="both"/>
                    <w:rPr>
                      <w:rFonts w:ascii="Times New Roman" w:hAnsi="Times New Roman" w:cs="Times New Roman"/>
                      <w:sz w:val="16"/>
                      <w:szCs w:val="16"/>
                    </w:rPr>
                  </w:pPr>
                  <w:r w:rsidRPr="00E30655">
                    <w:rPr>
                      <w:rFonts w:ascii="Times New Roman" w:hAnsi="Times New Roman" w:cs="Times New Roman"/>
                      <w:sz w:val="16"/>
                      <w:szCs w:val="16"/>
                    </w:rPr>
                    <w:t xml:space="preserve">Mokinių tarpusavio, mokinių ir mokytojų, mokytojų tarpusavio santykiai grindžiami pagarba, pasitikėjimu, pastangomis suprasti kitą, geranoriškumu, rūpinimusi padedant ir dalinantis. Siekiama, kad kiekvienas jaustųsi vertingas, reikalingas ir saugus. </w:t>
                  </w:r>
                </w:p>
                <w:p w:rsidR="007F2A65" w:rsidRPr="00E30655" w:rsidRDefault="007F2A65" w:rsidP="007F2A65">
                  <w:pPr>
                    <w:pStyle w:val="Default"/>
                    <w:jc w:val="both"/>
                    <w:rPr>
                      <w:rFonts w:ascii="Times New Roman" w:hAnsi="Times New Roman" w:cs="Times New Roman"/>
                      <w:sz w:val="16"/>
                      <w:szCs w:val="16"/>
                    </w:rPr>
                  </w:pPr>
                  <w:r w:rsidRPr="00E30655">
                    <w:rPr>
                      <w:rFonts w:ascii="Times New Roman" w:hAnsi="Times New Roman" w:cs="Times New Roman"/>
                      <w:i/>
                      <w:iCs/>
                      <w:sz w:val="16"/>
                      <w:szCs w:val="16"/>
                    </w:rPr>
                    <w:t xml:space="preserve">Narystė ir bendrakūra </w:t>
                  </w:r>
                </w:p>
                <w:p w:rsidR="007F2A65" w:rsidRPr="00E30655" w:rsidRDefault="007F2A65" w:rsidP="007F2A65">
                  <w:pPr>
                    <w:pStyle w:val="Default"/>
                    <w:jc w:val="both"/>
                    <w:rPr>
                      <w:rFonts w:ascii="Times New Roman" w:hAnsi="Times New Roman" w:cs="Times New Roman"/>
                      <w:sz w:val="16"/>
                      <w:szCs w:val="16"/>
                    </w:rPr>
                  </w:pPr>
                  <w:r w:rsidRPr="00E30655">
                    <w:rPr>
                      <w:rFonts w:ascii="Times New Roman" w:hAnsi="Times New Roman" w:cs="Times New Roman"/>
                      <w:sz w:val="16"/>
                      <w:szCs w:val="16"/>
                    </w:rPr>
                    <w:t xml:space="preserve">Mokiniai jaučiasi priklausantys mokyklos bendruomenei, yra patenkinti tuo, prisiima įsipareigojimus ir dalyvauja mokyklos savivaldoje. Savivalda grindžiama dialogo ir tarimosi kultūra, mokinių teise inicijuoti, priimti ir įgyvendinti sprendimus bei kurti mokyklos gyvenimą. Skatinama ir palaikoma mokinių lyderystė įvairiose veiklose, mokinių organizacijų veikla. </w:t>
                  </w:r>
                </w:p>
                <w:p w:rsidR="007F2A65" w:rsidRPr="00E30655" w:rsidRDefault="007F2A65" w:rsidP="007F2A65">
                  <w:pPr>
                    <w:pStyle w:val="Default"/>
                    <w:jc w:val="both"/>
                    <w:rPr>
                      <w:rFonts w:ascii="Times New Roman" w:hAnsi="Times New Roman" w:cs="Times New Roman"/>
                      <w:sz w:val="16"/>
                      <w:szCs w:val="16"/>
                    </w:rPr>
                  </w:pPr>
                  <w:r w:rsidRPr="00E30655">
                    <w:rPr>
                      <w:rFonts w:ascii="Times New Roman" w:hAnsi="Times New Roman" w:cs="Times New Roman"/>
                      <w:i/>
                      <w:iCs/>
                      <w:sz w:val="16"/>
                      <w:szCs w:val="16"/>
                    </w:rPr>
                    <w:t xml:space="preserve">Veiklos, įvykiai ir nuotykiai </w:t>
                  </w:r>
                </w:p>
                <w:p w:rsidR="007F2A65" w:rsidRPr="00E30655" w:rsidRDefault="007F2A65" w:rsidP="007F2A65">
                  <w:pPr>
                    <w:pStyle w:val="Default"/>
                    <w:jc w:val="both"/>
                    <w:rPr>
                      <w:rFonts w:ascii="Times New Roman" w:hAnsi="Times New Roman" w:cs="Times New Roman"/>
                      <w:sz w:val="16"/>
                      <w:szCs w:val="16"/>
                    </w:rPr>
                  </w:pPr>
                  <w:r w:rsidRPr="00E30655">
                    <w:rPr>
                      <w:rFonts w:ascii="Times New Roman" w:hAnsi="Times New Roman" w:cs="Times New Roman"/>
                      <w:sz w:val="16"/>
                      <w:szCs w:val="16"/>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7F2A65" w:rsidRPr="00E30655" w:rsidRDefault="007F2A65" w:rsidP="007F2A65">
                  <w:pPr>
                    <w:pStyle w:val="Default"/>
                    <w:jc w:val="both"/>
                    <w:rPr>
                      <w:rFonts w:ascii="Times New Roman" w:hAnsi="Times New Roman" w:cs="Times New Roman"/>
                      <w:sz w:val="16"/>
                      <w:szCs w:val="16"/>
                    </w:rPr>
                  </w:pPr>
                  <w:r w:rsidRPr="00E30655">
                    <w:rPr>
                      <w:rFonts w:ascii="Times New Roman" w:hAnsi="Times New Roman" w:cs="Times New Roman"/>
                      <w:i/>
                      <w:iCs/>
                      <w:sz w:val="16"/>
                      <w:szCs w:val="16"/>
                    </w:rPr>
                    <w:t xml:space="preserve">Darbinga tvarka </w:t>
                  </w:r>
                </w:p>
                <w:p w:rsidR="007F2A65" w:rsidRPr="00E30655" w:rsidRDefault="007F2A65" w:rsidP="007F2A65">
                  <w:pPr>
                    <w:pStyle w:val="Default"/>
                    <w:jc w:val="both"/>
                    <w:rPr>
                      <w:rFonts w:ascii="Times New Roman" w:hAnsi="Times New Roman" w:cs="Times New Roman"/>
                      <w:sz w:val="16"/>
                      <w:szCs w:val="16"/>
                    </w:rPr>
                  </w:pPr>
                  <w:r w:rsidRPr="00E30655">
                    <w:rPr>
                      <w:rFonts w:ascii="Times New Roman" w:hAnsi="Times New Roman" w:cs="Times New Roman"/>
                      <w:sz w:val="16"/>
                      <w:szCs w:val="16"/>
                    </w:rPr>
                    <w:t xml:space="preserve">Mokykloje tvyro darbinis mokymosi šurmulys, tačiau taip pat laikomasi sutartų mokymosi organizavimo taisyklių ir darbo ritmo, padedančio veiksmingai siekti ugdymo(si) tikslų. Mokiniai mokosi suvokti tvarkos paskirtį, kurti bendro gyvenimo taisykles ir jų laikytis. </w:t>
                  </w:r>
                </w:p>
              </w:tc>
            </w:tr>
          </w:tbl>
          <w:p w:rsidR="007F2A65" w:rsidRPr="00A60ECA" w:rsidRDefault="007F2A65" w:rsidP="00A60ECA">
            <w:pPr>
              <w:pStyle w:val="Default"/>
              <w:jc w:val="both"/>
              <w:rPr>
                <w:rFonts w:ascii="Times New Roman" w:hAnsi="Times New Roman" w:cs="Times New Roman"/>
                <w:i/>
                <w:iCs/>
                <w:sz w:val="16"/>
                <w:szCs w:val="16"/>
              </w:rPr>
            </w:pP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val="restart"/>
            <w:shd w:val="clear" w:color="auto" w:fill="auto"/>
          </w:tcPr>
          <w:p w:rsidR="007F2A65" w:rsidRPr="00A60ECA" w:rsidRDefault="007F2A65" w:rsidP="00A60ECA">
            <w:pPr>
              <w:pStyle w:val="NoSpacing"/>
              <w:jc w:val="both"/>
              <w:rPr>
                <w:sz w:val="16"/>
                <w:szCs w:val="16"/>
              </w:rPr>
            </w:pPr>
            <w:r w:rsidRPr="00A60ECA">
              <w:rPr>
                <w:sz w:val="16"/>
                <w:szCs w:val="16"/>
              </w:rPr>
              <w:t>2.4. Vertinimas ugdant</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2.4.1. Vertinimas ugdymui</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Vertinimo kriterijų aiškumas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Mokiniai informuojami ir su jais aptariama, ko iš jų tikimasi, koks turi būti gerai atliktas darbas, kokie vertinimo kriterijai, kada ir kaip yra taikomi.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Vertinimo įvairovė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Mokymosi planavimui, stebėjimui ir koregavimui naudojami įvairūs vertinimo būdai – diagnostinis, formuojamasis, ir apibendrinamasis, formalus ir neformalus – tačiau vyrauja kasdienis neformalus formuojamasis vertinimas. Mokytojai siekia surinkti pakankamai informacijos apie mokinio mokymosi rezultatus, sėkmes ir problemas, kad neklysdami priimtų sprendimus dėl tolesnio ugdymo. Derinami skirtingi vertinimo būdai - mokinių pasiekimų patikrinimai, vertinimo aplankai, mokinių pasiekimų aprašai ir kt. Vertinant pripažįstama formaliojo, neformaliojo ir savaiminio mokymosi pasiekimų visuma, kiekvienam mokiniui suteikiamos galimybės pasirodyti kuo geriau.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Pažangą skatinantis grįžtamasis ryšys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Mokytojai užtikrina, kad mokiniams ir jų tėvams informacija apie mokymąsi būtų teikiama laiku, būtų informatyvi, asmeniška ir skatinanti kiekvieną mokinį siekti asmeninės pažangos. Siekiama abipusio grįžtamojo ryšio (dialogo), kuris padeda mokytojams </w:t>
            </w:r>
            <w:r w:rsidRPr="00A60ECA">
              <w:rPr>
                <w:rFonts w:ascii="Times New Roman" w:hAnsi="Times New Roman" w:cs="Times New Roman"/>
                <w:sz w:val="16"/>
                <w:szCs w:val="16"/>
              </w:rPr>
              <w:lastRenderedPageBreak/>
              <w:t>pasirinkti tinkamesnes mokymo strategijas, o mokiniams – siekti optimalios asmeninės sėkmės, taisyti mokymosi spragas ir vadovauti savo pačių mokymuisi.</w:t>
            </w:r>
            <w:r w:rsidRPr="00A60ECA">
              <w:rPr>
                <w:sz w:val="16"/>
                <w:szCs w:val="16"/>
              </w:rPr>
              <w:t xml:space="preserve">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2.4.2. Mokinių įsivertinimas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Dialogas vertinant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Vertinimas, pagrįstas mokytojo ir mokinio dialogu apie mokymosi sėkmes ir nesėkmes, procesą, rezultatus, moko mokinius savistabos, savivaldos, įsivertinti savo bei vertinti kitų darbą. Mokiniai įsitraukia į mokymosi pasiekimų į(si)vertinimą, pažangos stebėjimą, pasiektų rezultatų apmąstymą. Vertinimas skatina poslinkį nuo išorinės link vidinės mokymosi motyvacijos.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Įsivertinimas kaip savivoka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mokymąsi bei lengviau jį valdo. </w:t>
            </w:r>
          </w:p>
        </w:tc>
      </w:tr>
      <w:tr w:rsidR="000E3369" w:rsidRPr="00A60ECA" w:rsidTr="00132CB7">
        <w:tc>
          <w:tcPr>
            <w:tcW w:w="1655" w:type="dxa"/>
            <w:tcBorders>
              <w:bottom w:val="nil"/>
            </w:tcBorders>
            <w:shd w:val="clear" w:color="auto" w:fill="auto"/>
          </w:tcPr>
          <w:p w:rsidR="004546C2" w:rsidRPr="00A60ECA" w:rsidRDefault="007B69A7" w:rsidP="00A60ECA">
            <w:pPr>
              <w:pStyle w:val="NoSpacing"/>
              <w:jc w:val="both"/>
              <w:rPr>
                <w:sz w:val="16"/>
                <w:szCs w:val="16"/>
              </w:rPr>
            </w:pPr>
            <w:r w:rsidRPr="00A60ECA">
              <w:rPr>
                <w:sz w:val="16"/>
                <w:szCs w:val="16"/>
              </w:rPr>
              <w:t>3. Aplinkos</w:t>
            </w:r>
          </w:p>
        </w:tc>
        <w:tc>
          <w:tcPr>
            <w:tcW w:w="2382" w:type="dxa"/>
            <w:tcBorders>
              <w:bottom w:val="nil"/>
            </w:tcBorders>
            <w:shd w:val="clear" w:color="auto" w:fill="auto"/>
          </w:tcPr>
          <w:p w:rsidR="004546C2" w:rsidRPr="00A60ECA" w:rsidRDefault="007B69A7" w:rsidP="00A60ECA">
            <w:pPr>
              <w:pStyle w:val="NoSpacing"/>
              <w:jc w:val="both"/>
              <w:rPr>
                <w:sz w:val="16"/>
                <w:szCs w:val="16"/>
              </w:rPr>
            </w:pPr>
            <w:r w:rsidRPr="00A60ECA">
              <w:rPr>
                <w:sz w:val="16"/>
                <w:szCs w:val="16"/>
              </w:rPr>
              <w:t>3.1. Įgalinanti mokytis fizinė aplinka</w:t>
            </w:r>
          </w:p>
        </w:tc>
        <w:tc>
          <w:tcPr>
            <w:tcW w:w="2904" w:type="dxa"/>
            <w:shd w:val="clear" w:color="auto" w:fill="auto"/>
          </w:tcPr>
          <w:p w:rsidR="004546C2" w:rsidRPr="00A60ECA" w:rsidRDefault="007B69A7" w:rsidP="00A60ECA">
            <w:pPr>
              <w:pStyle w:val="NoSpacing"/>
              <w:jc w:val="both"/>
              <w:rPr>
                <w:sz w:val="16"/>
                <w:szCs w:val="16"/>
              </w:rPr>
            </w:pPr>
            <w:r w:rsidRPr="00A60ECA">
              <w:rPr>
                <w:sz w:val="16"/>
                <w:szCs w:val="16"/>
              </w:rPr>
              <w:t>3.1.1. Įranga ir priemonės</w:t>
            </w:r>
          </w:p>
        </w:tc>
        <w:tc>
          <w:tcPr>
            <w:tcW w:w="8447" w:type="dxa"/>
            <w:shd w:val="clear" w:color="auto" w:fill="auto"/>
          </w:tcPr>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Įvairovė </w:t>
            </w:r>
          </w:p>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Įranga ir priemonės įvairios, skirtingos paskirties, atitinkančios situaciją, dalyko turinį, poreikius ir mokinių amžių. Įrangos ir priemonių pakanka, jos tikslingai panaudojamos ugdymo(si) tikslams pasiekti. Mokytojai, drauge su mokiniais, ir patys kuria mokymosi priemones, dalinasi jomis ir prasmingai naudoja. Įranga ir priemonės paskirstomi teisingai, garantuojant lygias galimybes kiekvienam mokiniui. Mokykla plečia ugdymo galimybes naudodamasi kitų organizacijų ištekliais. </w:t>
            </w:r>
          </w:p>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Šiuolaikiškumas </w:t>
            </w:r>
          </w:p>
          <w:p w:rsidR="004546C2" w:rsidRPr="00A60ECA" w:rsidRDefault="00207693"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Ug</w:t>
            </w:r>
            <w:r w:rsidR="0006106C">
              <w:rPr>
                <w:rFonts w:ascii="Times New Roman" w:hAnsi="Times New Roman" w:cs="Times New Roman"/>
                <w:sz w:val="16"/>
                <w:szCs w:val="16"/>
              </w:rPr>
              <w:t>d</w:t>
            </w:r>
            <w:bookmarkStart w:id="0" w:name="_GoBack"/>
            <w:bookmarkEnd w:id="0"/>
            <w:r w:rsidRPr="00A60ECA">
              <w:rPr>
                <w:rFonts w:ascii="Times New Roman" w:hAnsi="Times New Roman" w:cs="Times New Roman"/>
                <w:sz w:val="16"/>
                <w:szCs w:val="16"/>
              </w:rPr>
              <w:t>ymo procese naudojama įranga ir priemonės atitinka šiuolaikinius ugdymo reikalavimus ir pagal poreikį atnaujinamos. Mokyklos bendruomenė vertina turimų priemonių naudingumą. Steigėjo indėlis į mokyklos infrastruktūrą, įrangos ir priemonių atnaujinimą garantuoja ugdymo šiuolaikiškumą ir kokybę.</w:t>
            </w:r>
            <w:r w:rsidRPr="00A60ECA">
              <w:rPr>
                <w:sz w:val="16"/>
                <w:szCs w:val="16"/>
              </w:rPr>
              <w:t xml:space="preserve"> </w:t>
            </w:r>
          </w:p>
        </w:tc>
      </w:tr>
      <w:tr w:rsidR="000E3369" w:rsidRPr="00A60ECA" w:rsidTr="00132CB7">
        <w:tc>
          <w:tcPr>
            <w:tcW w:w="1655" w:type="dxa"/>
            <w:vMerge w:val="restart"/>
            <w:tcBorders>
              <w:top w:val="nil"/>
              <w:bottom w:val="nil"/>
            </w:tcBorders>
            <w:shd w:val="clear" w:color="auto" w:fill="auto"/>
          </w:tcPr>
          <w:p w:rsidR="007F2A65" w:rsidRPr="00A60ECA" w:rsidRDefault="007F2A65" w:rsidP="00A60ECA">
            <w:pPr>
              <w:pStyle w:val="NoSpacing"/>
              <w:jc w:val="both"/>
              <w:rPr>
                <w:sz w:val="16"/>
                <w:szCs w:val="16"/>
              </w:rPr>
            </w:pPr>
          </w:p>
        </w:tc>
        <w:tc>
          <w:tcPr>
            <w:tcW w:w="2382" w:type="dxa"/>
            <w:vMerge w:val="restart"/>
            <w:tcBorders>
              <w:top w:val="nil"/>
            </w:tcBorders>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3.1.2. Pastatas ir jo aplinka</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Estetiškumas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Mokyklos interjeras (spalvų parinkimas, baldai ir jų išdėstymas, stendai, puošyba ir kitos detalės) kuria gerą nuotaiką bei mokinių amžiui derantį jaukumą, ugdo darnos jausmą ir gerą skonį. Derinant skirtingus interjero stilius kuriamos įvairių paskirčių erdvės - padedančios susikaupti, stimuliuojančios mąstymą ir mokymąsi, improvizavimą ir kūrybą, bendravimą ir poilsį.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Ergonomiškumas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r w:rsidRPr="00A60ECA">
              <w:rPr>
                <w:sz w:val="16"/>
                <w:szCs w:val="16"/>
              </w:rPr>
              <w:t xml:space="preserve"> </w:t>
            </w:r>
          </w:p>
        </w:tc>
      </w:tr>
      <w:tr w:rsidR="000E3369" w:rsidRPr="00A60ECA" w:rsidTr="00132CB7">
        <w:tc>
          <w:tcPr>
            <w:tcW w:w="1655" w:type="dxa"/>
            <w:vMerge/>
            <w:tcBorders>
              <w:bottom w:val="nil"/>
            </w:tcBorders>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3.1.3. Aplinkų bendrakūra</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Mokinių įtraukimas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Mokinių darbų demonstravimas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Mokyklos patalpos dekoruojamos mokinių darbais. Taip pat eksponuojami tarpiniai mokymosi rezultatai, atspindintys jo procesą – eskizai, modeliai, projektai, užrašai. Mokiniai vertina, domisi, saugo savo ir kitų darbus, mokosi iš jų.</w:t>
            </w:r>
            <w:r w:rsidRPr="00A60ECA">
              <w:rPr>
                <w:sz w:val="16"/>
                <w:szCs w:val="16"/>
              </w:rPr>
              <w:t xml:space="preserve"> </w:t>
            </w:r>
          </w:p>
        </w:tc>
      </w:tr>
      <w:tr w:rsidR="000E3369" w:rsidRPr="00A60ECA" w:rsidTr="00132CB7">
        <w:tc>
          <w:tcPr>
            <w:tcW w:w="1655" w:type="dxa"/>
            <w:vMerge/>
            <w:tcBorders>
              <w:bottom w:val="nil"/>
            </w:tcBorders>
            <w:shd w:val="clear" w:color="auto" w:fill="auto"/>
          </w:tcPr>
          <w:p w:rsidR="007F2A65" w:rsidRPr="00A60ECA" w:rsidRDefault="007F2A65" w:rsidP="00A60ECA">
            <w:pPr>
              <w:pStyle w:val="NoSpacing"/>
              <w:jc w:val="both"/>
              <w:rPr>
                <w:sz w:val="16"/>
                <w:szCs w:val="16"/>
              </w:rPr>
            </w:pPr>
          </w:p>
        </w:tc>
        <w:tc>
          <w:tcPr>
            <w:tcW w:w="2382" w:type="dxa"/>
            <w:vMerge w:val="restart"/>
            <w:shd w:val="clear" w:color="auto" w:fill="auto"/>
          </w:tcPr>
          <w:p w:rsidR="007F2A65" w:rsidRPr="00A60ECA" w:rsidRDefault="007F2A65" w:rsidP="00A60ECA">
            <w:pPr>
              <w:pStyle w:val="NoSpacing"/>
              <w:jc w:val="both"/>
              <w:rPr>
                <w:sz w:val="16"/>
                <w:szCs w:val="16"/>
              </w:rPr>
            </w:pPr>
            <w:r w:rsidRPr="00A60ECA">
              <w:rPr>
                <w:sz w:val="16"/>
                <w:szCs w:val="16"/>
              </w:rPr>
              <w:t>3.2. Mokymasis be sienų</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3.2.1. Mokymasis ne mokykloje</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Mokyklos teritorijos naudojimas ugdymui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Ugdymui išradingai pritaikoma mokyklos teritorija - “klasės lauke”. Įvairios mokyklos aplinkos (želdiniai, bandymų zonos, stadionai, aikštynai, poilsio zonos ir t.t.) naudojamos kaip mokymosi lauke vietos ir šaltiniai. Mokytojai žino jų edukacines galimybes ir geba panaudoti ugdymui: teorijos pritaikymui praktikoje, tyrinėjimui ir kitokiam mokymuisi, sveikatos stiprinimui, žaidimams ir kt.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Edukacinės išvykos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patirties, būti mokomiems įvairesnių žmonių ir susieti mokymąsi su savo interesais. Mokytojai analizuoja ir aptaria mokinių mokymosi už mokyklos ribų poveikį, tobulina taikomus būdus ir ieško naujų galimybių. </w:t>
            </w:r>
          </w:p>
        </w:tc>
      </w:tr>
      <w:tr w:rsidR="000E3369" w:rsidRPr="00A60ECA" w:rsidTr="00132CB7">
        <w:tc>
          <w:tcPr>
            <w:tcW w:w="1655" w:type="dxa"/>
            <w:vMerge/>
            <w:tcBorders>
              <w:bottom w:val="nil"/>
            </w:tcBorders>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3.2.2. Mokymasis virtualioje aplinkoje</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Tikslingumas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kaip/kiek/ar IKT panaudojimas gerina mokymosi rezultatus, ir tobulina IKT taikymo mokymui ir mokymuisi būdus.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Įvairiapusiškumas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lastRenderedPageBreak/>
              <w:t xml:space="preserve">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 </w:t>
            </w:r>
          </w:p>
        </w:tc>
      </w:tr>
      <w:tr w:rsidR="000E3369" w:rsidRPr="00A60ECA" w:rsidTr="00132CB7">
        <w:tc>
          <w:tcPr>
            <w:tcW w:w="1655" w:type="dxa"/>
            <w:tcBorders>
              <w:top w:val="nil"/>
              <w:bottom w:val="nil"/>
            </w:tcBorders>
            <w:shd w:val="clear" w:color="auto" w:fill="auto"/>
          </w:tcPr>
          <w:p w:rsidR="007B69A7" w:rsidRPr="00A60ECA" w:rsidRDefault="007B69A7" w:rsidP="00A60ECA">
            <w:pPr>
              <w:pStyle w:val="NoSpacing"/>
              <w:jc w:val="both"/>
              <w:rPr>
                <w:sz w:val="16"/>
                <w:szCs w:val="16"/>
              </w:rPr>
            </w:pPr>
            <w:r w:rsidRPr="00A60ECA">
              <w:rPr>
                <w:sz w:val="16"/>
                <w:szCs w:val="16"/>
              </w:rPr>
              <w:lastRenderedPageBreak/>
              <w:t>4. Vadyba ir lyderystė</w:t>
            </w:r>
          </w:p>
        </w:tc>
        <w:tc>
          <w:tcPr>
            <w:tcW w:w="2382" w:type="dxa"/>
            <w:tcBorders>
              <w:bottom w:val="nil"/>
            </w:tcBorders>
            <w:shd w:val="clear" w:color="auto" w:fill="auto"/>
          </w:tcPr>
          <w:p w:rsidR="007B69A7" w:rsidRPr="00A60ECA" w:rsidRDefault="007B69A7" w:rsidP="00A60ECA">
            <w:pPr>
              <w:pStyle w:val="NoSpacing"/>
              <w:jc w:val="both"/>
              <w:rPr>
                <w:sz w:val="16"/>
                <w:szCs w:val="16"/>
              </w:rPr>
            </w:pPr>
            <w:r w:rsidRPr="00A60ECA">
              <w:rPr>
                <w:sz w:val="16"/>
                <w:szCs w:val="16"/>
              </w:rPr>
              <w:t>4.1. Veiklos planavimas ir organizavimas</w:t>
            </w:r>
          </w:p>
        </w:tc>
        <w:tc>
          <w:tcPr>
            <w:tcW w:w="2904" w:type="dxa"/>
            <w:shd w:val="clear" w:color="auto" w:fill="auto"/>
          </w:tcPr>
          <w:p w:rsidR="007B69A7" w:rsidRPr="00A60ECA" w:rsidRDefault="007B69A7" w:rsidP="00A60ECA">
            <w:pPr>
              <w:pStyle w:val="NoSpacing"/>
              <w:jc w:val="both"/>
              <w:rPr>
                <w:sz w:val="16"/>
                <w:szCs w:val="16"/>
              </w:rPr>
            </w:pPr>
            <w:r w:rsidRPr="00A60ECA">
              <w:rPr>
                <w:sz w:val="16"/>
                <w:szCs w:val="16"/>
              </w:rPr>
              <w:t>4.1.1. Perspektyva ir bendruomenės susitarimai</w:t>
            </w:r>
          </w:p>
        </w:tc>
        <w:tc>
          <w:tcPr>
            <w:tcW w:w="8447" w:type="dxa"/>
            <w:shd w:val="clear" w:color="auto" w:fill="auto"/>
          </w:tcPr>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Vizijos bendrumas </w:t>
            </w:r>
          </w:p>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Mokyklos vizija yra reali mokyklos veiklos perspektyva, priimtina visiems mokyklos bendruomenės nariams. Strateginiai, metiniai planai, veiklos programos grindžiamos bendrai apmąstytu mokytojų, mokinių, tėvų, socialinių partnerių sutarimu. </w:t>
            </w:r>
          </w:p>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Veiklos kryptingumas </w:t>
            </w:r>
          </w:p>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Mokyklos vizija orientuota į ateities iššūkius švietimui, paremta šiuolaikinių švietimo tyrimų rezultatais, atitinka nacionalinę, regiono strategiją. </w:t>
            </w:r>
          </w:p>
          <w:p w:rsidR="00207693" w:rsidRPr="00A60ECA" w:rsidRDefault="00207693"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Planų gyvumas </w:t>
            </w:r>
          </w:p>
          <w:p w:rsidR="007B69A7" w:rsidRPr="00A60ECA" w:rsidRDefault="00207693"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 </w:t>
            </w:r>
          </w:p>
        </w:tc>
      </w:tr>
      <w:tr w:rsidR="000E3369" w:rsidRPr="00A60ECA" w:rsidTr="00132CB7">
        <w:tc>
          <w:tcPr>
            <w:tcW w:w="1655" w:type="dxa"/>
            <w:vMerge w:val="restart"/>
            <w:tcBorders>
              <w:top w:val="nil"/>
            </w:tcBorders>
            <w:shd w:val="clear" w:color="auto" w:fill="auto"/>
          </w:tcPr>
          <w:p w:rsidR="007F2A65" w:rsidRPr="00A60ECA" w:rsidRDefault="007F2A65" w:rsidP="00A60ECA">
            <w:pPr>
              <w:pStyle w:val="NoSpacing"/>
              <w:jc w:val="both"/>
              <w:rPr>
                <w:sz w:val="16"/>
                <w:szCs w:val="16"/>
              </w:rPr>
            </w:pPr>
          </w:p>
        </w:tc>
        <w:tc>
          <w:tcPr>
            <w:tcW w:w="2382" w:type="dxa"/>
            <w:vMerge w:val="restart"/>
            <w:tcBorders>
              <w:top w:val="nil"/>
            </w:tcBorders>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4.1.2. Lyderystė</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Pasidalinta lyderystė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Mokykloje skatinama ugdytis lyderystės gebėjimus. Visiems bendruomenės nariams suteikiama laisvė rodyti iniciatyvą, prisiimti atsakomybę už iniciatyvas, sprendimus ir jų įgyvendinimą. Lyderiai įgalina ir skatina bendruomenę diskutuoti, mąstyti ir veikti kūrybiškai.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Lyderystė mokymuisi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Įsipareigojimas susitarimams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Mokyklos vadovai imasi tiesioginių veiksmų strategijai ir veiklos programoms įgyvendinti, kasdieniu elgesiu demonstruoja sutartas mokyklos vertybes. Mokytojai pasitiki mokyklos formaliais lyderiais kaip partneriais, pagalbininkais ir patarėjais.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4.1.3. Mokyklos savivalda</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Skaidrumas ir atvirumas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Sprendimų pagrįstumas ir veiksmingumas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Savivaldos strateginiai ir kasdienės veiklos gerinimo siūlymai yra argumentuoti. Visi savivaldos sprendimai yra reikalingi ir keičia mokyklos gyvenimą. Mokykloje yra sistema, kaip priimami sprendimai, svarbūs tiek mokyklos ateities siekiams, tiek kasdieniam gyvenimui mokykloje.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val="restart"/>
            <w:shd w:val="clear" w:color="auto" w:fill="auto"/>
          </w:tcPr>
          <w:p w:rsidR="007F2A65" w:rsidRPr="00A60ECA" w:rsidRDefault="007F2A65" w:rsidP="00A60ECA">
            <w:pPr>
              <w:pStyle w:val="NoSpacing"/>
              <w:jc w:val="both"/>
              <w:rPr>
                <w:sz w:val="16"/>
                <w:szCs w:val="16"/>
              </w:rPr>
            </w:pPr>
            <w:r w:rsidRPr="00A60ECA">
              <w:rPr>
                <w:sz w:val="16"/>
                <w:szCs w:val="16"/>
              </w:rPr>
              <w:t>4.2. Mokymasis ir veikimas komandomis</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4.2.1. Veikimas kartu</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Bendradarbiavimo kultūra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Kolegialus mokymasis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Mokytojai mokosi drauge ir vieni iš kitų: dalindamiesi patirtimi, atradimais, sumanymais ir kūriniais, studijuodami šaltinius, stebėdami kolegų pamokas. Sąmoningas ir kryptingas mokymasis vyksta įvairiose mokytojų komandose. Periodiškai organizuojamos mokytojų mokymosi išvykos, skirtos akiračiui plėsti ir mokinių ugdymo turiniui praturtinti bei aktualizuoti.</w:t>
            </w:r>
            <w:r w:rsidRPr="00A60ECA">
              <w:rPr>
                <w:sz w:val="16"/>
                <w:szCs w:val="16"/>
              </w:rPr>
              <w:t xml:space="preserve"> </w:t>
            </w:r>
          </w:p>
        </w:tc>
      </w:tr>
      <w:tr w:rsidR="000E3369" w:rsidRPr="00A60ECA" w:rsidTr="00132CB7">
        <w:tc>
          <w:tcPr>
            <w:tcW w:w="1655" w:type="dxa"/>
            <w:vMerge/>
            <w:tcBorders>
              <w:bottom w:val="nil"/>
            </w:tcBorders>
            <w:shd w:val="clear" w:color="auto" w:fill="auto"/>
          </w:tcPr>
          <w:p w:rsidR="007F2A65" w:rsidRPr="00A60ECA" w:rsidRDefault="007F2A65" w:rsidP="00A60ECA">
            <w:pPr>
              <w:pStyle w:val="NoSpacing"/>
              <w:jc w:val="both"/>
              <w:rPr>
                <w:sz w:val="16"/>
                <w:szCs w:val="16"/>
              </w:rPr>
            </w:pPr>
          </w:p>
        </w:tc>
        <w:tc>
          <w:tcPr>
            <w:tcW w:w="2382" w:type="dxa"/>
            <w:vMerge/>
            <w:tcBorders>
              <w:bottom w:val="nil"/>
            </w:tcBorders>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4.2.2. Tėvų/globėjų galimybių pažinimas ir didinimas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Pažinimas ir sąveika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Tėvų informavimo ir švietimo sistema atitinka tėvų poreikius ir mokyklos specifiką. Mokytojai domisi tėvų galimybėmis padėti vaikams augti ir pasiūlo tėvams tinkamus pagalbos ir bendradarbiavimo būdus ir formas. Mokytojai ir tėvai bendradarbiauja (skiria laiko ir inicijuoja susitikimus, pokalbius ir kt.) palaikydami ir skatindami mokinio pažangą, stiprindami jo psichinę ir fizinę sveikatą bei socialumą.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Į(si)traukimas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Tėvai dalyvauja tobulinant mokyklą. Tėvai įsitraukia į vaikų ugdymą(si) įvairiomis formomis (plėsdami jų kultūrinį akiratį, skatindami pažintinį aktyvumą, padėdami išsikelti ambicingus ugdymosi tikslus ir jų siekti, o taip pat dalyvaudami mokyklos veiklose, individualiuose ir bendruose susitikimuose su mokytojais, inicijuodami prasmingas veiklas, projektus, vesdami pamokas ar kitus užsiėmimus). Bendradarbiaujama abiem pusėms patogiu laiku.</w:t>
            </w:r>
            <w:r w:rsidRPr="00A60ECA">
              <w:rPr>
                <w:sz w:val="16"/>
                <w:szCs w:val="16"/>
              </w:rPr>
              <w:t xml:space="preserve"> </w:t>
            </w:r>
          </w:p>
        </w:tc>
      </w:tr>
      <w:tr w:rsidR="000E3369" w:rsidRPr="00A60ECA" w:rsidTr="00132CB7">
        <w:tc>
          <w:tcPr>
            <w:tcW w:w="1655" w:type="dxa"/>
            <w:vMerge w:val="restart"/>
            <w:tcBorders>
              <w:top w:val="nil"/>
            </w:tcBorders>
            <w:shd w:val="clear" w:color="auto" w:fill="auto"/>
          </w:tcPr>
          <w:p w:rsidR="007F2A65" w:rsidRPr="00A60ECA" w:rsidRDefault="007F2A65" w:rsidP="00A60ECA">
            <w:pPr>
              <w:pStyle w:val="NoSpacing"/>
              <w:jc w:val="both"/>
              <w:rPr>
                <w:sz w:val="16"/>
                <w:szCs w:val="16"/>
              </w:rPr>
            </w:pPr>
          </w:p>
        </w:tc>
        <w:tc>
          <w:tcPr>
            <w:tcW w:w="2382" w:type="dxa"/>
            <w:tcBorders>
              <w:top w:val="nil"/>
              <w:bottom w:val="single" w:sz="4" w:space="0" w:color="auto"/>
            </w:tcBorders>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4.2.3. Mokyklos tinklaveika</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Atvirumas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lastRenderedPageBreak/>
              <w:t xml:space="preserve">Mokykla yra atvira pasauliui: bendruomenės nariai domisi kintančia aplinka, reaguoja į pasikeitimus, mezga socialinius ryšius. Bendradarbiaujama su vietos bendruomene, įvairiomis organizacijomis, kitomis mokyklomis, palaikomi ryšiai su mokyklos absolventais.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Prasmingumas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Mokyklos tinklaveika padeda kompleksiškai siekti užsibrėžtų tikslų. Partnerystės yra kruopščiai planuojamos, siekiama jų perspektyvumo. Periodiškai vertinama tinklaveikos nauda ir sąnaudos.</w:t>
            </w:r>
            <w:r w:rsidRPr="00A60ECA">
              <w:rPr>
                <w:sz w:val="16"/>
                <w:szCs w:val="16"/>
              </w:rPr>
              <w:t xml:space="preserve">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val="restart"/>
            <w:tcBorders>
              <w:top w:val="single" w:sz="4" w:space="0" w:color="auto"/>
            </w:tcBorders>
            <w:shd w:val="clear" w:color="auto" w:fill="auto"/>
          </w:tcPr>
          <w:p w:rsidR="007F2A65" w:rsidRPr="00A60ECA" w:rsidRDefault="007F2A65" w:rsidP="00A60ECA">
            <w:pPr>
              <w:pStyle w:val="NoSpacing"/>
              <w:jc w:val="both"/>
              <w:rPr>
                <w:sz w:val="16"/>
                <w:szCs w:val="16"/>
              </w:rPr>
            </w:pPr>
            <w:r w:rsidRPr="00A60ECA">
              <w:rPr>
                <w:sz w:val="16"/>
                <w:szCs w:val="16"/>
              </w:rPr>
              <w:t>4.3. Asmeninis meistriškumas</w:t>
            </w: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4.3.1. Kompetencija</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Pozityvus profesionalumas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Mokytojams patinka mokytojo darbas. Jie gerbia mokinius ir laikosi pedagogo etikos. Mokytojai išmano savo ugdymo sritį, dėstomus dalykus, domisi ir seka naujoves. Jie dirba kaip savo srities profesionalai – šiuolaikiškai, įdomiai bei veiksmingai – ir siekia dirbti kuo geriau. </w:t>
            </w:r>
          </w:p>
        </w:tc>
      </w:tr>
      <w:tr w:rsidR="000E3369" w:rsidRPr="00A60ECA" w:rsidTr="00132CB7">
        <w:tc>
          <w:tcPr>
            <w:tcW w:w="1655" w:type="dxa"/>
            <w:vMerge/>
            <w:shd w:val="clear" w:color="auto" w:fill="auto"/>
          </w:tcPr>
          <w:p w:rsidR="007F2A65" w:rsidRPr="00A60ECA" w:rsidRDefault="007F2A65" w:rsidP="00A60ECA">
            <w:pPr>
              <w:pStyle w:val="NoSpacing"/>
              <w:jc w:val="both"/>
              <w:rPr>
                <w:sz w:val="16"/>
                <w:szCs w:val="16"/>
              </w:rPr>
            </w:pPr>
          </w:p>
        </w:tc>
        <w:tc>
          <w:tcPr>
            <w:tcW w:w="2382" w:type="dxa"/>
            <w:vMerge/>
            <w:shd w:val="clear" w:color="auto" w:fill="auto"/>
          </w:tcPr>
          <w:p w:rsidR="007F2A65" w:rsidRPr="00A60ECA" w:rsidRDefault="007F2A65" w:rsidP="00A60ECA">
            <w:pPr>
              <w:pStyle w:val="NoSpacing"/>
              <w:jc w:val="both"/>
              <w:rPr>
                <w:sz w:val="16"/>
                <w:szCs w:val="16"/>
              </w:rPr>
            </w:pPr>
          </w:p>
        </w:tc>
        <w:tc>
          <w:tcPr>
            <w:tcW w:w="2904" w:type="dxa"/>
            <w:shd w:val="clear" w:color="auto" w:fill="auto"/>
          </w:tcPr>
          <w:p w:rsidR="007F2A65" w:rsidRPr="00A60ECA" w:rsidRDefault="007F2A65" w:rsidP="00A60ECA">
            <w:pPr>
              <w:pStyle w:val="NoSpacing"/>
              <w:jc w:val="both"/>
              <w:rPr>
                <w:sz w:val="16"/>
                <w:szCs w:val="16"/>
              </w:rPr>
            </w:pPr>
            <w:r w:rsidRPr="00A60ECA">
              <w:rPr>
                <w:sz w:val="16"/>
                <w:szCs w:val="16"/>
              </w:rPr>
              <w:t>4.3.2. Nuolatinis profesinis tobulėjimas</w:t>
            </w:r>
          </w:p>
        </w:tc>
        <w:tc>
          <w:tcPr>
            <w:tcW w:w="8447" w:type="dxa"/>
            <w:shd w:val="clear" w:color="auto" w:fill="auto"/>
          </w:tcPr>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Reiklumas sau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sz w:val="16"/>
                <w:szCs w:val="16"/>
              </w:rPr>
              <w:t xml:space="preserve">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 </w:t>
            </w:r>
          </w:p>
          <w:p w:rsidR="007F2A65" w:rsidRPr="00A60ECA" w:rsidRDefault="007F2A65" w:rsidP="00A60ECA">
            <w:pPr>
              <w:pStyle w:val="Default"/>
              <w:jc w:val="both"/>
              <w:rPr>
                <w:rFonts w:ascii="Times New Roman" w:hAnsi="Times New Roman" w:cs="Times New Roman"/>
                <w:sz w:val="16"/>
                <w:szCs w:val="16"/>
              </w:rPr>
            </w:pPr>
            <w:r w:rsidRPr="00A60ECA">
              <w:rPr>
                <w:rFonts w:ascii="Times New Roman" w:hAnsi="Times New Roman" w:cs="Times New Roman"/>
                <w:i/>
                <w:iCs/>
                <w:sz w:val="16"/>
                <w:szCs w:val="16"/>
              </w:rPr>
              <w:t xml:space="preserve">Atkaklumas ir nuoseklumas </w:t>
            </w:r>
          </w:p>
          <w:p w:rsidR="007F2A65" w:rsidRPr="00A60ECA" w:rsidRDefault="007F2A65" w:rsidP="00A60ECA">
            <w:pPr>
              <w:pStyle w:val="Default"/>
              <w:jc w:val="both"/>
              <w:rPr>
                <w:rFonts w:ascii="Times New Roman" w:hAnsi="Times New Roman" w:cs="Times New Roman"/>
                <w:i/>
                <w:iCs/>
                <w:sz w:val="16"/>
                <w:szCs w:val="16"/>
              </w:rPr>
            </w:pPr>
            <w:r w:rsidRPr="00A60ECA">
              <w:rPr>
                <w:rFonts w:ascii="Times New Roman" w:hAnsi="Times New Roman" w:cs="Times New Roman"/>
                <w:sz w:val="16"/>
                <w:szCs w:val="16"/>
              </w:rPr>
              <w:t xml:space="preserve">Mokytojai ir vadovai planuoja asmeninio meistriškumo augimą ir jo atkakliai siekia. Jie mokosi pasinaudodami įvairiomis galimybėmis: savo mokykloje su kolegomis ir iš jų, su mokiniais ir iš jų, per informacinius ir socialinius kolegialaus mokymosi tinklus, kursuose, seminaruose, išvykose etc. </w:t>
            </w:r>
          </w:p>
        </w:tc>
      </w:tr>
    </w:tbl>
    <w:p w:rsidR="003D371F" w:rsidRPr="00E30655" w:rsidRDefault="003D371F"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977011" w:rsidRPr="00E30655" w:rsidRDefault="00977011" w:rsidP="007F2A65">
      <w:pPr>
        <w:jc w:val="both"/>
        <w:rPr>
          <w:sz w:val="16"/>
          <w:szCs w:val="16"/>
        </w:rPr>
      </w:pPr>
    </w:p>
    <w:p w:rsidR="00E30655" w:rsidRPr="00E30655" w:rsidRDefault="00E30655" w:rsidP="007F2A65">
      <w:pPr>
        <w:jc w:val="both"/>
        <w:rPr>
          <w:sz w:val="16"/>
          <w:szCs w:val="16"/>
        </w:rPr>
      </w:pPr>
    </w:p>
    <w:sectPr w:rsidR="00E30655" w:rsidRPr="00E30655" w:rsidSect="003D371F">
      <w:headerReference w:type="default" r:id="rId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41" w:rsidRDefault="00975E41" w:rsidP="00A60ECA">
      <w:pPr>
        <w:spacing w:after="0" w:line="240" w:lineRule="auto"/>
      </w:pPr>
      <w:r>
        <w:separator/>
      </w:r>
    </w:p>
  </w:endnote>
  <w:endnote w:type="continuationSeparator" w:id="0">
    <w:p w:rsidR="00975E41" w:rsidRDefault="00975E41" w:rsidP="00A6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41" w:rsidRDefault="00975E41" w:rsidP="00A60ECA">
      <w:pPr>
        <w:spacing w:after="0" w:line="240" w:lineRule="auto"/>
      </w:pPr>
      <w:r>
        <w:separator/>
      </w:r>
    </w:p>
  </w:footnote>
  <w:footnote w:type="continuationSeparator" w:id="0">
    <w:p w:rsidR="00975E41" w:rsidRDefault="00975E41" w:rsidP="00A6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CA" w:rsidRDefault="00A60ECA" w:rsidP="00A60ECA">
    <w:pPr>
      <w:pStyle w:val="Header"/>
      <w:jc w:val="right"/>
    </w:pPr>
    <w:r>
      <w:fldChar w:fldCharType="begin"/>
    </w:r>
    <w:r>
      <w:instrText>PAGE   \* MERGEFORMAT</w:instrText>
    </w:r>
    <w:r>
      <w:fldChar w:fldCharType="separate"/>
    </w:r>
    <w:r w:rsidR="0006106C">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1F"/>
    <w:rsid w:val="0006106C"/>
    <w:rsid w:val="000E3369"/>
    <w:rsid w:val="00132CB7"/>
    <w:rsid w:val="00207693"/>
    <w:rsid w:val="003A4A59"/>
    <w:rsid w:val="003D371F"/>
    <w:rsid w:val="004546C2"/>
    <w:rsid w:val="007342F9"/>
    <w:rsid w:val="007B69A7"/>
    <w:rsid w:val="007F2A65"/>
    <w:rsid w:val="00947D0A"/>
    <w:rsid w:val="0095136C"/>
    <w:rsid w:val="00975E41"/>
    <w:rsid w:val="00977011"/>
    <w:rsid w:val="009C5937"/>
    <w:rsid w:val="00A60ECA"/>
    <w:rsid w:val="00C62D13"/>
    <w:rsid w:val="00E30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3949"/>
  <w15:chartTrackingRefBased/>
  <w15:docId w15:val="{255332B8-31E8-4943-A832-A8850CBB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371F"/>
    <w:rPr>
      <w:sz w:val="24"/>
      <w:szCs w:val="22"/>
      <w:lang w:eastAsia="en-US"/>
    </w:rPr>
  </w:style>
  <w:style w:type="paragraph" w:customStyle="1" w:styleId="Default">
    <w:name w:val="Default"/>
    <w:rsid w:val="003D371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60E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0ECA"/>
    <w:rPr>
      <w:rFonts w:ascii="Segoe UI" w:hAnsi="Segoe UI" w:cs="Segoe UI"/>
      <w:sz w:val="18"/>
      <w:szCs w:val="18"/>
      <w:lang w:eastAsia="en-US"/>
    </w:rPr>
  </w:style>
  <w:style w:type="paragraph" w:styleId="Header">
    <w:name w:val="header"/>
    <w:basedOn w:val="Normal"/>
    <w:link w:val="HeaderChar"/>
    <w:uiPriority w:val="99"/>
    <w:unhideWhenUsed/>
    <w:rsid w:val="00A60ECA"/>
    <w:pPr>
      <w:tabs>
        <w:tab w:val="center" w:pos="4819"/>
        <w:tab w:val="right" w:pos="9638"/>
      </w:tabs>
    </w:pPr>
  </w:style>
  <w:style w:type="character" w:customStyle="1" w:styleId="HeaderChar">
    <w:name w:val="Header Char"/>
    <w:link w:val="Header"/>
    <w:uiPriority w:val="99"/>
    <w:rsid w:val="00A60ECA"/>
    <w:rPr>
      <w:sz w:val="24"/>
      <w:szCs w:val="22"/>
      <w:lang w:eastAsia="en-US"/>
    </w:rPr>
  </w:style>
  <w:style w:type="paragraph" w:styleId="Footer">
    <w:name w:val="footer"/>
    <w:basedOn w:val="Normal"/>
    <w:link w:val="FooterChar"/>
    <w:uiPriority w:val="99"/>
    <w:unhideWhenUsed/>
    <w:rsid w:val="00A60ECA"/>
    <w:pPr>
      <w:tabs>
        <w:tab w:val="center" w:pos="4819"/>
        <w:tab w:val="right" w:pos="9638"/>
      </w:tabs>
    </w:pPr>
  </w:style>
  <w:style w:type="character" w:customStyle="1" w:styleId="FooterChar">
    <w:name w:val="Footer Char"/>
    <w:link w:val="Footer"/>
    <w:uiPriority w:val="99"/>
    <w:rsid w:val="00A60EC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DE90-E451-4A1B-A1FE-7328EF2F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16689</Words>
  <Characters>9514</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Julija Baze</cp:lastModifiedBy>
  <cp:revision>4</cp:revision>
  <cp:lastPrinted>2015-11-16T16:28:00Z</cp:lastPrinted>
  <dcterms:created xsi:type="dcterms:W3CDTF">2017-12-09T14:43:00Z</dcterms:created>
  <dcterms:modified xsi:type="dcterms:W3CDTF">2017-12-09T15:15:00Z</dcterms:modified>
</cp:coreProperties>
</file>