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EA" w:rsidRPr="00A1192C" w:rsidRDefault="008E13EA" w:rsidP="008E13EA">
      <w:pPr>
        <w:pStyle w:val="Betarp"/>
        <w:ind w:left="1080"/>
        <w:jc w:val="center"/>
        <w:rPr>
          <w:b/>
        </w:rPr>
      </w:pPr>
      <w:r w:rsidRPr="00A1192C">
        <w:rPr>
          <w:b/>
        </w:rPr>
        <w:t>Brandos egzaminų analizė</w:t>
      </w:r>
      <w:r w:rsidR="00EA4884">
        <w:rPr>
          <w:b/>
        </w:rPr>
        <w:t xml:space="preserve"> 2018</w:t>
      </w:r>
      <w:r>
        <w:rPr>
          <w:b/>
        </w:rPr>
        <w:t xml:space="preserve"> – 201</w:t>
      </w:r>
      <w:r w:rsidR="00EA4884">
        <w:rPr>
          <w:b/>
        </w:rPr>
        <w:t>9</w:t>
      </w:r>
      <w:r>
        <w:rPr>
          <w:b/>
        </w:rPr>
        <w:t xml:space="preserve"> m. m.</w:t>
      </w:r>
    </w:p>
    <w:p w:rsidR="008E13EA" w:rsidRPr="00AC51E6" w:rsidRDefault="008E13EA" w:rsidP="008E13EA">
      <w:pPr>
        <w:pStyle w:val="Betarp"/>
        <w:ind w:left="1080"/>
        <w:rPr>
          <w:b/>
        </w:rPr>
      </w:pPr>
    </w:p>
    <w:p w:rsidR="008E13EA" w:rsidRPr="00AC51E6" w:rsidRDefault="008E13EA" w:rsidP="008E13EA">
      <w:pPr>
        <w:pStyle w:val="Betarp"/>
        <w:ind w:firstLine="567"/>
        <w:jc w:val="both"/>
      </w:pPr>
      <w:r w:rsidRPr="00AC51E6">
        <w:t>Vi</w:t>
      </w:r>
      <w:r>
        <w:t>durinio ugdymo programą baigė 14</w:t>
      </w:r>
      <w:r w:rsidRPr="00AC51E6">
        <w:t xml:space="preserve"> mokinių. </w:t>
      </w:r>
    </w:p>
    <w:p w:rsidR="008E13EA" w:rsidRPr="00AC51E6" w:rsidRDefault="008E13EA" w:rsidP="008E13EA">
      <w:pPr>
        <w:pStyle w:val="Betarp"/>
        <w:ind w:firstLine="567"/>
      </w:pPr>
      <w:r w:rsidRPr="00AC51E6">
        <w:t>Brandos egzaminų rezultatai: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1546"/>
        <w:gridCol w:w="1550"/>
        <w:gridCol w:w="1823"/>
      </w:tblGrid>
      <w:tr w:rsidR="008E13EA" w:rsidRPr="00C7138F" w:rsidTr="00FD3B5C">
        <w:trPr>
          <w:trHeight w:val="674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Dalykas</w:t>
            </w:r>
          </w:p>
        </w:tc>
        <w:tc>
          <w:tcPr>
            <w:tcW w:w="1559" w:type="dxa"/>
            <w:shd w:val="clear" w:color="auto" w:fill="auto"/>
          </w:tcPr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Kiek mokinių laikė</w:t>
            </w:r>
          </w:p>
        </w:tc>
        <w:tc>
          <w:tcPr>
            <w:tcW w:w="1560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 w:rsidRPr="00C7138F">
              <w:t>Procentas</w:t>
            </w:r>
          </w:p>
        </w:tc>
        <w:tc>
          <w:tcPr>
            <w:tcW w:w="1840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>
              <w:t>Neišlaikė</w:t>
            </w:r>
          </w:p>
        </w:tc>
      </w:tr>
      <w:tr w:rsidR="008E13EA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>
              <w:t xml:space="preserve">Gimtoji </w:t>
            </w:r>
            <w:r w:rsidRPr="00C7138F">
              <w:t xml:space="preserve">kalba </w:t>
            </w:r>
            <w:r>
              <w:t xml:space="preserve">(lenkų) </w:t>
            </w:r>
            <w:r w:rsidRPr="00C7138F">
              <w:t>(mokyklinis)</w:t>
            </w:r>
          </w:p>
        </w:tc>
        <w:tc>
          <w:tcPr>
            <w:tcW w:w="1559" w:type="dxa"/>
            <w:shd w:val="clear" w:color="auto" w:fill="auto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</w:tcPr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100 %</w:t>
            </w:r>
          </w:p>
        </w:tc>
        <w:tc>
          <w:tcPr>
            <w:tcW w:w="1840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>
              <w:t>-</w:t>
            </w:r>
          </w:p>
        </w:tc>
      </w:tr>
      <w:tr w:rsidR="008E13EA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 w:rsidRPr="00C7138F">
              <w:t xml:space="preserve">Lietuvių kalba </w:t>
            </w:r>
            <w:r>
              <w:t xml:space="preserve">ir literatūra </w:t>
            </w:r>
            <w:r w:rsidRPr="00C7138F">
              <w:t>(mokyklinis)</w:t>
            </w:r>
          </w:p>
        </w:tc>
        <w:tc>
          <w:tcPr>
            <w:tcW w:w="1559" w:type="dxa"/>
            <w:shd w:val="clear" w:color="auto" w:fill="auto"/>
          </w:tcPr>
          <w:p w:rsidR="008E13EA" w:rsidRPr="00C7138F" w:rsidRDefault="00BF69EF" w:rsidP="00FD3B5C">
            <w:pPr>
              <w:pStyle w:val="Betarp"/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71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>
              <w:t>-</w:t>
            </w:r>
          </w:p>
        </w:tc>
      </w:tr>
      <w:tr w:rsidR="008E13EA" w:rsidRPr="00C7138F" w:rsidTr="00FD3B5C">
        <w:trPr>
          <w:trHeight w:val="355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 w:rsidRPr="00C7138F">
              <w:t xml:space="preserve">Lietuvių kalba </w:t>
            </w:r>
            <w:r>
              <w:t xml:space="preserve">ir literatūra </w:t>
            </w:r>
            <w:r w:rsidRPr="00C7138F">
              <w:t>(valstybinis)</w:t>
            </w:r>
          </w:p>
        </w:tc>
        <w:tc>
          <w:tcPr>
            <w:tcW w:w="1559" w:type="dxa"/>
            <w:shd w:val="clear" w:color="auto" w:fill="auto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29</w:t>
            </w:r>
            <w:r w:rsidR="008E13EA" w:rsidRPr="00C7138F">
              <w:t xml:space="preserve"> %</w:t>
            </w:r>
          </w:p>
        </w:tc>
        <w:tc>
          <w:tcPr>
            <w:tcW w:w="1840" w:type="dxa"/>
            <w:shd w:val="clear" w:color="auto" w:fill="auto"/>
          </w:tcPr>
          <w:p w:rsidR="008E13EA" w:rsidRPr="00C7138F" w:rsidRDefault="00490243" w:rsidP="00FD3B5C">
            <w:pPr>
              <w:pStyle w:val="Betarp"/>
            </w:pPr>
            <w:r>
              <w:t>-</w:t>
            </w:r>
          </w:p>
        </w:tc>
      </w:tr>
      <w:tr w:rsidR="008E13EA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 w:rsidRPr="00C7138F">
              <w:t>Užsienio kalba</w:t>
            </w:r>
            <w:r>
              <w:t xml:space="preserve"> </w:t>
            </w:r>
            <w:r w:rsidRPr="00C7138F">
              <w:t>(</w:t>
            </w:r>
            <w:r>
              <w:t>anglų</w:t>
            </w:r>
            <w:r w:rsidRPr="00C7138F">
              <w:t>)</w:t>
            </w:r>
          </w:p>
        </w:tc>
        <w:tc>
          <w:tcPr>
            <w:tcW w:w="1559" w:type="dxa"/>
            <w:shd w:val="clear" w:color="auto" w:fill="auto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43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>
              <w:t>-</w:t>
            </w:r>
          </w:p>
        </w:tc>
      </w:tr>
      <w:tr w:rsidR="008E13EA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 w:rsidRPr="00C7138F">
              <w:t>Užsienio kalba</w:t>
            </w:r>
            <w:r>
              <w:t xml:space="preserve"> </w:t>
            </w:r>
            <w:r w:rsidRPr="00C7138F">
              <w:t>(</w:t>
            </w:r>
            <w:r>
              <w:t>rusų</w:t>
            </w:r>
            <w:r w:rsidRPr="00C7138F">
              <w:t>)</w:t>
            </w:r>
          </w:p>
        </w:tc>
        <w:tc>
          <w:tcPr>
            <w:tcW w:w="1559" w:type="dxa"/>
            <w:shd w:val="clear" w:color="auto" w:fill="auto"/>
          </w:tcPr>
          <w:p w:rsidR="008E13EA" w:rsidRDefault="00490243" w:rsidP="00FD3B5C">
            <w:pPr>
              <w:pStyle w:val="Betarp"/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:rsidR="008E13EA" w:rsidRDefault="00490243" w:rsidP="00FD3B5C">
            <w:pPr>
              <w:pStyle w:val="Betarp"/>
              <w:jc w:val="center"/>
            </w:pPr>
            <w:r>
              <w:t>57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8E13EA" w:rsidRDefault="00490243" w:rsidP="00FD3B5C">
            <w:pPr>
              <w:pStyle w:val="Betarp"/>
            </w:pPr>
            <w:r>
              <w:t>-</w:t>
            </w:r>
          </w:p>
        </w:tc>
      </w:tr>
      <w:tr w:rsidR="008E13EA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 w:rsidRPr="00C7138F">
              <w:t xml:space="preserve">Matematika </w:t>
            </w:r>
          </w:p>
        </w:tc>
        <w:tc>
          <w:tcPr>
            <w:tcW w:w="1559" w:type="dxa"/>
            <w:shd w:val="clear" w:color="auto" w:fill="auto"/>
          </w:tcPr>
          <w:p w:rsidR="008E13EA" w:rsidRPr="00C7138F" w:rsidRDefault="001B4B08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8E13EA" w:rsidRPr="00C7138F" w:rsidRDefault="001B4B08" w:rsidP="00FD3B5C">
            <w:pPr>
              <w:pStyle w:val="Betarp"/>
              <w:jc w:val="center"/>
            </w:pPr>
            <w:r>
              <w:t>1</w:t>
            </w:r>
            <w:r w:rsidR="008E13EA">
              <w:t xml:space="preserve">4 </w:t>
            </w:r>
            <w:r w:rsidR="008E13EA"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>
              <w:t>-</w:t>
            </w:r>
          </w:p>
        </w:tc>
      </w:tr>
      <w:tr w:rsidR="008E13EA" w:rsidRPr="00C7138F" w:rsidTr="00FD3B5C">
        <w:trPr>
          <w:trHeight w:val="337"/>
        </w:trPr>
        <w:tc>
          <w:tcPr>
            <w:tcW w:w="4786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 w:rsidRPr="00C7138F">
              <w:t xml:space="preserve">Istorija </w:t>
            </w:r>
          </w:p>
        </w:tc>
        <w:tc>
          <w:tcPr>
            <w:tcW w:w="1559" w:type="dxa"/>
            <w:shd w:val="clear" w:color="auto" w:fill="auto"/>
          </w:tcPr>
          <w:p w:rsidR="008E13EA" w:rsidRPr="00C7138F" w:rsidRDefault="001B4B08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8E13EA" w:rsidRPr="00C7138F" w:rsidRDefault="001B4B08" w:rsidP="00FD3B5C">
            <w:pPr>
              <w:pStyle w:val="Betarp"/>
              <w:jc w:val="center"/>
            </w:pPr>
            <w:r>
              <w:t>14</w:t>
            </w:r>
            <w:r w:rsidR="008E13EA" w:rsidRPr="00C7138F">
              <w:t xml:space="preserve"> %</w:t>
            </w:r>
          </w:p>
        </w:tc>
        <w:tc>
          <w:tcPr>
            <w:tcW w:w="1840" w:type="dxa"/>
            <w:shd w:val="clear" w:color="auto" w:fill="auto"/>
          </w:tcPr>
          <w:p w:rsidR="008E13EA" w:rsidRPr="00C7138F" w:rsidRDefault="008E13EA" w:rsidP="00FD3B5C">
            <w:pPr>
              <w:pStyle w:val="Betarp"/>
            </w:pPr>
            <w:r>
              <w:t>-</w:t>
            </w:r>
          </w:p>
        </w:tc>
      </w:tr>
      <w:tr w:rsidR="008E13EA" w:rsidRPr="00C7138F" w:rsidTr="00FD3B5C">
        <w:trPr>
          <w:trHeight w:val="355"/>
        </w:trPr>
        <w:tc>
          <w:tcPr>
            <w:tcW w:w="4786" w:type="dxa"/>
            <w:shd w:val="clear" w:color="auto" w:fill="auto"/>
          </w:tcPr>
          <w:p w:rsidR="008E13EA" w:rsidRDefault="008E13EA" w:rsidP="00FD3B5C">
            <w:pPr>
              <w:pStyle w:val="Betarp"/>
            </w:pPr>
            <w:r>
              <w:t xml:space="preserve">Fizika </w:t>
            </w:r>
          </w:p>
        </w:tc>
        <w:tc>
          <w:tcPr>
            <w:tcW w:w="1559" w:type="dxa"/>
            <w:shd w:val="clear" w:color="auto" w:fill="auto"/>
          </w:tcPr>
          <w:p w:rsidR="008E13EA" w:rsidRDefault="00490243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8E13EA" w:rsidRDefault="008E13EA" w:rsidP="00FD3B5C">
            <w:pPr>
              <w:pStyle w:val="Betarp"/>
              <w:jc w:val="center"/>
            </w:pPr>
            <w:r>
              <w:t xml:space="preserve">7 </w:t>
            </w:r>
            <w:r w:rsidRPr="00C7138F">
              <w:t>%</w:t>
            </w:r>
          </w:p>
        </w:tc>
        <w:tc>
          <w:tcPr>
            <w:tcW w:w="1840" w:type="dxa"/>
            <w:shd w:val="clear" w:color="auto" w:fill="auto"/>
          </w:tcPr>
          <w:p w:rsidR="008E13EA" w:rsidRDefault="00490243" w:rsidP="00FD3B5C">
            <w:pPr>
              <w:pStyle w:val="Betarp"/>
            </w:pPr>
            <w:r>
              <w:t>1</w:t>
            </w:r>
          </w:p>
        </w:tc>
      </w:tr>
    </w:tbl>
    <w:p w:rsidR="008E13EA" w:rsidRDefault="008E13EA" w:rsidP="008E13EA">
      <w:pPr>
        <w:pStyle w:val="Betarp"/>
        <w:ind w:firstLine="680"/>
        <w:jc w:val="center"/>
        <w:rPr>
          <w:b/>
        </w:rPr>
      </w:pPr>
    </w:p>
    <w:p w:rsidR="008E13EA" w:rsidRPr="008E13EA" w:rsidRDefault="008E13EA" w:rsidP="008E13EA">
      <w:pPr>
        <w:pStyle w:val="Betarp"/>
        <w:ind w:firstLine="680"/>
        <w:jc w:val="center"/>
        <w:rPr>
          <w:b/>
        </w:rPr>
      </w:pPr>
      <w:r w:rsidRPr="008E13EA">
        <w:rPr>
          <w:b/>
        </w:rPr>
        <w:t>Valstybinių brandos egzaminų rezultatai:</w:t>
      </w:r>
    </w:p>
    <w:p w:rsidR="008E13EA" w:rsidRPr="008E13EA" w:rsidRDefault="008E13EA" w:rsidP="008E13EA">
      <w:pPr>
        <w:pStyle w:val="Betarp"/>
        <w:jc w:val="center"/>
        <w:rPr>
          <w:b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992"/>
        <w:gridCol w:w="993"/>
        <w:gridCol w:w="850"/>
        <w:gridCol w:w="851"/>
        <w:gridCol w:w="778"/>
        <w:gridCol w:w="1803"/>
      </w:tblGrid>
      <w:tr w:rsidR="008E13EA" w:rsidRPr="00C7138F" w:rsidTr="00FD3B5C">
        <w:tc>
          <w:tcPr>
            <w:tcW w:w="1668" w:type="dxa"/>
            <w:vMerge w:val="restart"/>
          </w:tcPr>
          <w:p w:rsidR="008E13EA" w:rsidRDefault="008E13EA" w:rsidP="00FD3B5C">
            <w:pPr>
              <w:pStyle w:val="Betarp"/>
            </w:pPr>
          </w:p>
          <w:p w:rsidR="008E13EA" w:rsidRDefault="008E13EA" w:rsidP="00FD3B5C">
            <w:pPr>
              <w:pStyle w:val="Betarp"/>
            </w:pPr>
          </w:p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Dalykas</w:t>
            </w:r>
          </w:p>
        </w:tc>
        <w:tc>
          <w:tcPr>
            <w:tcW w:w="1134" w:type="dxa"/>
            <w:vMerge w:val="restart"/>
          </w:tcPr>
          <w:p w:rsidR="008E13EA" w:rsidRDefault="008E13EA" w:rsidP="00FD3B5C">
            <w:pPr>
              <w:pStyle w:val="Betarp"/>
            </w:pPr>
          </w:p>
          <w:p w:rsidR="008E13EA" w:rsidRPr="00C7138F" w:rsidRDefault="008E13EA" w:rsidP="00FD3B5C">
            <w:pPr>
              <w:pStyle w:val="Betarp"/>
            </w:pPr>
            <w:r w:rsidRPr="00C7138F">
              <w:t>Mokinių skaičius</w:t>
            </w:r>
          </w:p>
        </w:tc>
        <w:tc>
          <w:tcPr>
            <w:tcW w:w="1842" w:type="dxa"/>
            <w:gridSpan w:val="2"/>
          </w:tcPr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Balai</w:t>
            </w:r>
          </w:p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1 - 35</w:t>
            </w:r>
          </w:p>
        </w:tc>
        <w:tc>
          <w:tcPr>
            <w:tcW w:w="1843" w:type="dxa"/>
            <w:gridSpan w:val="2"/>
          </w:tcPr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Balai</w:t>
            </w:r>
          </w:p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35 –85</w:t>
            </w:r>
          </w:p>
        </w:tc>
        <w:tc>
          <w:tcPr>
            <w:tcW w:w="1629" w:type="dxa"/>
            <w:gridSpan w:val="2"/>
          </w:tcPr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Balai</w:t>
            </w:r>
          </w:p>
          <w:p w:rsidR="008E13EA" w:rsidRPr="00C7138F" w:rsidRDefault="001B4B08" w:rsidP="00FD3B5C">
            <w:pPr>
              <w:pStyle w:val="Betarp"/>
              <w:jc w:val="center"/>
            </w:pPr>
            <w:r>
              <w:t>86 - 100</w:t>
            </w:r>
          </w:p>
        </w:tc>
        <w:tc>
          <w:tcPr>
            <w:tcW w:w="1803" w:type="dxa"/>
            <w:vMerge w:val="restart"/>
          </w:tcPr>
          <w:p w:rsidR="008E13EA" w:rsidRDefault="008E13EA" w:rsidP="00FD3B5C">
            <w:pPr>
              <w:pStyle w:val="Betarp"/>
            </w:pPr>
          </w:p>
          <w:p w:rsidR="008E13EA" w:rsidRDefault="008E13EA" w:rsidP="00FD3B5C">
            <w:pPr>
              <w:pStyle w:val="Betarp"/>
            </w:pPr>
          </w:p>
          <w:p w:rsidR="008E13EA" w:rsidRPr="00C7138F" w:rsidRDefault="008E13EA" w:rsidP="00FD3B5C">
            <w:pPr>
              <w:pStyle w:val="Betarp"/>
              <w:jc w:val="center"/>
            </w:pPr>
            <w:r w:rsidRPr="00C7138F">
              <w:t>Mokytojas</w:t>
            </w:r>
          </w:p>
        </w:tc>
      </w:tr>
      <w:tr w:rsidR="008E13EA" w:rsidRPr="00C7138F" w:rsidTr="00FD3B5C">
        <w:tc>
          <w:tcPr>
            <w:tcW w:w="1668" w:type="dxa"/>
            <w:vMerge/>
          </w:tcPr>
          <w:p w:rsidR="008E13EA" w:rsidRPr="00C7138F" w:rsidRDefault="008E13EA" w:rsidP="00FD3B5C">
            <w:pPr>
              <w:pStyle w:val="Betarp"/>
            </w:pPr>
          </w:p>
        </w:tc>
        <w:tc>
          <w:tcPr>
            <w:tcW w:w="1134" w:type="dxa"/>
            <w:vMerge/>
          </w:tcPr>
          <w:p w:rsidR="008E13EA" w:rsidRPr="00C7138F" w:rsidRDefault="008E13EA" w:rsidP="00FD3B5C">
            <w:pPr>
              <w:pStyle w:val="Betarp"/>
            </w:pPr>
          </w:p>
        </w:tc>
        <w:tc>
          <w:tcPr>
            <w:tcW w:w="850" w:type="dxa"/>
          </w:tcPr>
          <w:p w:rsidR="008E13EA" w:rsidRPr="00C7138F" w:rsidRDefault="008E13EA" w:rsidP="00FD3B5C">
            <w:pPr>
              <w:pStyle w:val="Betarp"/>
            </w:pPr>
            <w:r w:rsidRPr="00C7138F">
              <w:t>Mok.</w:t>
            </w:r>
            <w:r>
              <w:t xml:space="preserve"> </w:t>
            </w:r>
            <w:r w:rsidRPr="00C7138F">
              <w:t>sk.</w:t>
            </w:r>
          </w:p>
        </w:tc>
        <w:tc>
          <w:tcPr>
            <w:tcW w:w="992" w:type="dxa"/>
          </w:tcPr>
          <w:p w:rsidR="008E13EA" w:rsidRPr="00C7138F" w:rsidRDefault="008E13EA" w:rsidP="00FD3B5C">
            <w:pPr>
              <w:pStyle w:val="Betarp"/>
            </w:pPr>
            <w:r w:rsidRPr="00C7138F">
              <w:t>%</w:t>
            </w:r>
          </w:p>
        </w:tc>
        <w:tc>
          <w:tcPr>
            <w:tcW w:w="993" w:type="dxa"/>
          </w:tcPr>
          <w:p w:rsidR="008E13EA" w:rsidRPr="00C7138F" w:rsidRDefault="008E13EA" w:rsidP="00FD3B5C">
            <w:pPr>
              <w:pStyle w:val="Betarp"/>
            </w:pPr>
            <w:r w:rsidRPr="00C7138F">
              <w:t>Mok.</w:t>
            </w:r>
            <w:r>
              <w:t xml:space="preserve"> </w:t>
            </w:r>
            <w:r w:rsidRPr="00C7138F">
              <w:t>sk.</w:t>
            </w:r>
          </w:p>
        </w:tc>
        <w:tc>
          <w:tcPr>
            <w:tcW w:w="850" w:type="dxa"/>
          </w:tcPr>
          <w:p w:rsidR="008E13EA" w:rsidRPr="00C7138F" w:rsidRDefault="008E13EA" w:rsidP="00FD3B5C">
            <w:pPr>
              <w:pStyle w:val="Betarp"/>
            </w:pPr>
            <w:r w:rsidRPr="00C7138F">
              <w:t>%</w:t>
            </w:r>
          </w:p>
        </w:tc>
        <w:tc>
          <w:tcPr>
            <w:tcW w:w="851" w:type="dxa"/>
          </w:tcPr>
          <w:p w:rsidR="008E13EA" w:rsidRDefault="008E13EA" w:rsidP="00FD3B5C">
            <w:pPr>
              <w:pStyle w:val="Betarp"/>
            </w:pPr>
            <w:r w:rsidRPr="00C7138F">
              <w:t>Mok.</w:t>
            </w:r>
          </w:p>
          <w:p w:rsidR="008E13EA" w:rsidRPr="00C7138F" w:rsidRDefault="008E13EA" w:rsidP="00FD3B5C">
            <w:pPr>
              <w:pStyle w:val="Betarp"/>
            </w:pPr>
            <w:r w:rsidRPr="00C7138F">
              <w:t>sk.</w:t>
            </w:r>
          </w:p>
        </w:tc>
        <w:tc>
          <w:tcPr>
            <w:tcW w:w="778" w:type="dxa"/>
          </w:tcPr>
          <w:p w:rsidR="008E13EA" w:rsidRPr="00C7138F" w:rsidRDefault="008E13EA" w:rsidP="00FD3B5C">
            <w:pPr>
              <w:pStyle w:val="Betarp"/>
            </w:pPr>
            <w:r w:rsidRPr="00C7138F">
              <w:t>%</w:t>
            </w:r>
          </w:p>
        </w:tc>
        <w:tc>
          <w:tcPr>
            <w:tcW w:w="1803" w:type="dxa"/>
            <w:vMerge/>
          </w:tcPr>
          <w:p w:rsidR="008E13EA" w:rsidRPr="00C7138F" w:rsidRDefault="008E13EA" w:rsidP="00FD3B5C">
            <w:pPr>
              <w:pStyle w:val="Betarp"/>
            </w:pPr>
          </w:p>
        </w:tc>
      </w:tr>
      <w:tr w:rsidR="008E13EA" w:rsidRPr="00C7138F" w:rsidTr="00FD3B5C">
        <w:tc>
          <w:tcPr>
            <w:tcW w:w="1668" w:type="dxa"/>
          </w:tcPr>
          <w:p w:rsidR="008E13EA" w:rsidRPr="00C7138F" w:rsidRDefault="008E13EA" w:rsidP="00FD3B5C">
            <w:pPr>
              <w:pStyle w:val="Betarp"/>
            </w:pPr>
            <w:r>
              <w:t>Lietuvių kalba ir literatūra</w:t>
            </w:r>
          </w:p>
        </w:tc>
        <w:tc>
          <w:tcPr>
            <w:tcW w:w="1134" w:type="dxa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E13EA" w:rsidRPr="00C7138F" w:rsidRDefault="00490243" w:rsidP="00490243">
            <w:pPr>
              <w:pStyle w:val="Betarp"/>
              <w:jc w:val="center"/>
            </w:pPr>
            <w:r>
              <w:t>50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993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50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851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8E13EA" w:rsidRPr="00270A24" w:rsidRDefault="008E13EA" w:rsidP="00FD3B5C">
            <w:pPr>
              <w:pStyle w:val="Betarp"/>
              <w:jc w:val="center"/>
            </w:pPr>
            <w:r>
              <w:t xml:space="preserve">Julija </w:t>
            </w:r>
            <w:proofErr w:type="spellStart"/>
            <w:r>
              <w:t>Bazevičienė</w:t>
            </w:r>
            <w:proofErr w:type="spellEnd"/>
          </w:p>
        </w:tc>
      </w:tr>
      <w:tr w:rsidR="008E13EA" w:rsidRPr="00C7138F" w:rsidTr="00FD3B5C">
        <w:tc>
          <w:tcPr>
            <w:tcW w:w="1668" w:type="dxa"/>
          </w:tcPr>
          <w:p w:rsidR="008E13EA" w:rsidRPr="00C7138F" w:rsidRDefault="008E13EA" w:rsidP="00FD3B5C">
            <w:pPr>
              <w:pStyle w:val="Betarp"/>
            </w:pPr>
            <w:r>
              <w:t>Užsienio kalba (anglų</w:t>
            </w:r>
            <w:r w:rsidRPr="00C7138F">
              <w:t>)</w:t>
            </w:r>
          </w:p>
        </w:tc>
        <w:tc>
          <w:tcPr>
            <w:tcW w:w="1134" w:type="dxa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67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993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E13EA" w:rsidRPr="00C7138F" w:rsidRDefault="00490243" w:rsidP="00FD3B5C">
            <w:pPr>
              <w:pStyle w:val="Betarp"/>
              <w:jc w:val="center"/>
            </w:pPr>
            <w:r>
              <w:t>33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851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 xml:space="preserve">Veronika </w:t>
            </w:r>
            <w:proofErr w:type="spellStart"/>
            <w:r>
              <w:t>Grakalskienė</w:t>
            </w:r>
            <w:proofErr w:type="spellEnd"/>
          </w:p>
        </w:tc>
      </w:tr>
      <w:tr w:rsidR="008E13EA" w:rsidRPr="00C7138F" w:rsidTr="00FD3B5C">
        <w:tc>
          <w:tcPr>
            <w:tcW w:w="1668" w:type="dxa"/>
          </w:tcPr>
          <w:p w:rsidR="008E13EA" w:rsidRPr="00C7138F" w:rsidRDefault="008E13EA" w:rsidP="00FD3B5C">
            <w:pPr>
              <w:pStyle w:val="Betarp"/>
            </w:pPr>
            <w:r w:rsidRPr="00C7138F">
              <w:t>Matematika</w:t>
            </w:r>
          </w:p>
        </w:tc>
        <w:tc>
          <w:tcPr>
            <w:tcW w:w="1134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850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100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851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Regina Tamošiūnienė</w:t>
            </w:r>
          </w:p>
        </w:tc>
      </w:tr>
      <w:tr w:rsidR="008E13EA" w:rsidRPr="00C7138F" w:rsidTr="00FD3B5C">
        <w:tc>
          <w:tcPr>
            <w:tcW w:w="1668" w:type="dxa"/>
          </w:tcPr>
          <w:p w:rsidR="008E13EA" w:rsidRPr="00C7138F" w:rsidRDefault="008E13EA" w:rsidP="00FD3B5C">
            <w:pPr>
              <w:pStyle w:val="Betarp"/>
            </w:pPr>
            <w:r w:rsidRPr="00C7138F">
              <w:t xml:space="preserve">Istorija </w:t>
            </w:r>
          </w:p>
        </w:tc>
        <w:tc>
          <w:tcPr>
            <w:tcW w:w="1134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E13EA" w:rsidRPr="00C7138F" w:rsidRDefault="00EA4884" w:rsidP="00FD3B5C">
            <w:pPr>
              <w:pStyle w:val="Betarp"/>
              <w:jc w:val="center"/>
            </w:pPr>
            <w:r>
              <w:t>100</w:t>
            </w:r>
            <w:r w:rsidR="008E13EA">
              <w:t xml:space="preserve"> </w:t>
            </w:r>
            <w:r w:rsidR="008E13EA" w:rsidRPr="00C7138F">
              <w:t>%</w:t>
            </w:r>
          </w:p>
        </w:tc>
        <w:tc>
          <w:tcPr>
            <w:tcW w:w="851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8E13EA" w:rsidRPr="00C7138F" w:rsidRDefault="008E13EA" w:rsidP="00FD3B5C">
            <w:pPr>
              <w:pStyle w:val="Betarp"/>
              <w:jc w:val="center"/>
            </w:pPr>
            <w:proofErr w:type="spellStart"/>
            <w:r>
              <w:t>Tomaš</w:t>
            </w:r>
            <w:proofErr w:type="spellEnd"/>
            <w:r>
              <w:t xml:space="preserve"> </w:t>
            </w:r>
            <w:proofErr w:type="spellStart"/>
            <w:r>
              <w:t>Božerocki</w:t>
            </w:r>
            <w:proofErr w:type="spellEnd"/>
          </w:p>
        </w:tc>
      </w:tr>
      <w:tr w:rsidR="008E13EA" w:rsidRPr="00C7138F" w:rsidTr="00FD3B5C">
        <w:tc>
          <w:tcPr>
            <w:tcW w:w="1668" w:type="dxa"/>
          </w:tcPr>
          <w:p w:rsidR="008E13EA" w:rsidRPr="00C7138F" w:rsidRDefault="008E13EA" w:rsidP="00FD3B5C">
            <w:pPr>
              <w:pStyle w:val="Betarp"/>
            </w:pPr>
            <w:r>
              <w:t xml:space="preserve">Fizika </w:t>
            </w:r>
          </w:p>
        </w:tc>
        <w:tc>
          <w:tcPr>
            <w:tcW w:w="1134" w:type="dxa"/>
          </w:tcPr>
          <w:p w:rsidR="008E13EA" w:rsidRDefault="008E13EA" w:rsidP="00FD3B5C">
            <w:pPr>
              <w:pStyle w:val="Betarp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E13EA" w:rsidRDefault="008E13EA" w:rsidP="00FD3B5C">
            <w:pPr>
              <w:pStyle w:val="Betarp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100</w:t>
            </w:r>
            <w:r w:rsidRPr="00C7138F">
              <w:t>%</w:t>
            </w:r>
          </w:p>
        </w:tc>
        <w:tc>
          <w:tcPr>
            <w:tcW w:w="993" w:type="dxa"/>
          </w:tcPr>
          <w:p w:rsidR="008E13EA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8E13EA" w:rsidRPr="00C7138F" w:rsidRDefault="008E13EA" w:rsidP="00FD3B5C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8E13EA" w:rsidRDefault="008E13EA" w:rsidP="00FD3B5C">
            <w:pPr>
              <w:pStyle w:val="Betarp"/>
              <w:jc w:val="center"/>
            </w:pPr>
            <w:r>
              <w:t xml:space="preserve">Alina </w:t>
            </w:r>
            <w:proofErr w:type="spellStart"/>
            <w:r>
              <w:t>Makovska</w:t>
            </w:r>
            <w:proofErr w:type="spellEnd"/>
          </w:p>
        </w:tc>
      </w:tr>
      <w:tr w:rsidR="00EA4884" w:rsidRPr="00C7138F" w:rsidTr="00FD3B5C">
        <w:tc>
          <w:tcPr>
            <w:tcW w:w="1668" w:type="dxa"/>
          </w:tcPr>
          <w:p w:rsidR="00EA4884" w:rsidRPr="00C7138F" w:rsidRDefault="00EA4884" w:rsidP="00EA4884">
            <w:pPr>
              <w:pStyle w:val="Betarp"/>
            </w:pPr>
            <w:r>
              <w:t xml:space="preserve">Biologija </w:t>
            </w:r>
          </w:p>
        </w:tc>
        <w:tc>
          <w:tcPr>
            <w:tcW w:w="1134" w:type="dxa"/>
          </w:tcPr>
          <w:p w:rsidR="00EA4884" w:rsidRDefault="00EA4884" w:rsidP="00EA4884">
            <w:pPr>
              <w:pStyle w:val="Betarp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A4884" w:rsidRDefault="00EA4884" w:rsidP="00EA4884">
            <w:pPr>
              <w:pStyle w:val="Betarp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4884" w:rsidRPr="00C7138F" w:rsidRDefault="00EA4884" w:rsidP="00EA4884">
            <w:pPr>
              <w:pStyle w:val="Betarp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884" w:rsidRDefault="00EA4884" w:rsidP="00EA4884">
            <w:pPr>
              <w:pStyle w:val="Betarp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A4884" w:rsidRPr="00C7138F" w:rsidRDefault="00EA4884" w:rsidP="00EA4884">
            <w:pPr>
              <w:pStyle w:val="Betarp"/>
              <w:jc w:val="center"/>
            </w:pPr>
            <w:r>
              <w:t>100</w:t>
            </w:r>
            <w:r w:rsidRPr="00C7138F">
              <w:t>%</w:t>
            </w:r>
          </w:p>
        </w:tc>
        <w:tc>
          <w:tcPr>
            <w:tcW w:w="851" w:type="dxa"/>
          </w:tcPr>
          <w:p w:rsidR="00EA4884" w:rsidRPr="00C7138F" w:rsidRDefault="00EA4884" w:rsidP="00EA4884">
            <w:pPr>
              <w:pStyle w:val="Betarp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EA4884" w:rsidRPr="00C7138F" w:rsidRDefault="00EA4884" w:rsidP="00EA4884">
            <w:pPr>
              <w:pStyle w:val="Betarp"/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EA4884" w:rsidRDefault="00EA4884" w:rsidP="00EA4884">
            <w:pPr>
              <w:pStyle w:val="Betarp"/>
              <w:jc w:val="center"/>
            </w:pPr>
            <w:r>
              <w:t xml:space="preserve">Alina </w:t>
            </w:r>
            <w:proofErr w:type="spellStart"/>
            <w:r>
              <w:t>Makovska</w:t>
            </w:r>
            <w:proofErr w:type="spellEnd"/>
          </w:p>
        </w:tc>
      </w:tr>
      <w:tr w:rsidR="00EA4884" w:rsidRPr="00C7138F" w:rsidTr="00FD3B5C">
        <w:tc>
          <w:tcPr>
            <w:tcW w:w="1668" w:type="dxa"/>
          </w:tcPr>
          <w:p w:rsidR="00EA4884" w:rsidRDefault="00EA4884" w:rsidP="00EA4884">
            <w:pPr>
              <w:pStyle w:val="Betarp"/>
            </w:pPr>
            <w:r>
              <w:t>Užsienio kalba (rusų)</w:t>
            </w:r>
          </w:p>
        </w:tc>
        <w:tc>
          <w:tcPr>
            <w:tcW w:w="1134" w:type="dxa"/>
          </w:tcPr>
          <w:p w:rsidR="00EA4884" w:rsidRDefault="001B4B08" w:rsidP="00EA4884">
            <w:pPr>
              <w:pStyle w:val="Betarp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A4884" w:rsidRDefault="00EA4884" w:rsidP="00EA4884">
            <w:pPr>
              <w:pStyle w:val="Betarp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A4884" w:rsidRPr="00C7138F" w:rsidRDefault="00EA4884" w:rsidP="00EA4884">
            <w:pPr>
              <w:pStyle w:val="Betarp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884" w:rsidRDefault="001B4B08" w:rsidP="001B4B08">
            <w:pPr>
              <w:pStyle w:val="Betarp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A4884" w:rsidRPr="00C7138F" w:rsidRDefault="001B4B08" w:rsidP="00EA4884">
            <w:pPr>
              <w:pStyle w:val="Betarp"/>
              <w:jc w:val="center"/>
            </w:pPr>
            <w:r>
              <w:t xml:space="preserve">25 </w:t>
            </w:r>
            <w:r w:rsidR="00EA4884" w:rsidRPr="00C7138F">
              <w:t>%</w:t>
            </w:r>
          </w:p>
        </w:tc>
        <w:tc>
          <w:tcPr>
            <w:tcW w:w="851" w:type="dxa"/>
          </w:tcPr>
          <w:p w:rsidR="00EA4884" w:rsidRDefault="001B4B08" w:rsidP="00EA4884">
            <w:pPr>
              <w:pStyle w:val="Betarp"/>
              <w:jc w:val="center"/>
            </w:pPr>
            <w:r>
              <w:t>6</w:t>
            </w:r>
          </w:p>
        </w:tc>
        <w:tc>
          <w:tcPr>
            <w:tcW w:w="778" w:type="dxa"/>
          </w:tcPr>
          <w:p w:rsidR="00EA4884" w:rsidRPr="00C7138F" w:rsidRDefault="001B4B08" w:rsidP="00EA4884">
            <w:pPr>
              <w:pStyle w:val="Betarp"/>
              <w:jc w:val="center"/>
            </w:pPr>
            <w:r>
              <w:t>75</w:t>
            </w:r>
            <w:r w:rsidR="00EA4884">
              <w:t xml:space="preserve"> </w:t>
            </w:r>
            <w:r w:rsidR="00EA4884" w:rsidRPr="00C7138F">
              <w:t>%</w:t>
            </w:r>
          </w:p>
        </w:tc>
        <w:tc>
          <w:tcPr>
            <w:tcW w:w="1803" w:type="dxa"/>
          </w:tcPr>
          <w:p w:rsidR="00EA4884" w:rsidRDefault="00EA4884" w:rsidP="00EA4884">
            <w:pPr>
              <w:pStyle w:val="Betarp"/>
              <w:jc w:val="center"/>
            </w:pPr>
            <w:r>
              <w:t>Jelena</w:t>
            </w:r>
          </w:p>
          <w:p w:rsidR="00EA4884" w:rsidRDefault="00EA4884" w:rsidP="00EA4884">
            <w:pPr>
              <w:pStyle w:val="Betarp"/>
              <w:jc w:val="center"/>
            </w:pPr>
            <w:proofErr w:type="spellStart"/>
            <w:r>
              <w:t>Mincevič</w:t>
            </w:r>
            <w:proofErr w:type="spellEnd"/>
          </w:p>
        </w:tc>
      </w:tr>
    </w:tbl>
    <w:p w:rsidR="008E13EA" w:rsidRDefault="008E13EA" w:rsidP="008E13EA">
      <w:pPr>
        <w:ind w:firstLine="567"/>
        <w:jc w:val="both"/>
      </w:pPr>
      <w:r>
        <w:t>Studijas</w:t>
      </w:r>
      <w:r w:rsidRPr="00C052B7">
        <w:t xml:space="preserve"> aukštosiose m</w:t>
      </w:r>
      <w:r>
        <w:t>okyklose pasirinko 8</w:t>
      </w:r>
      <w:r w:rsidRPr="00C052B7">
        <w:t xml:space="preserve"> abiturientai</w:t>
      </w:r>
      <w:r>
        <w:t>, t. y. 57</w:t>
      </w:r>
      <w:r w:rsidRPr="00C052B7">
        <w:t xml:space="preserve"> %</w:t>
      </w:r>
    </w:p>
    <w:p w:rsidR="008E13EA" w:rsidRPr="00C052B7" w:rsidRDefault="008E13EA" w:rsidP="008E13EA">
      <w:pPr>
        <w:ind w:firstLine="567"/>
        <w:jc w:val="both"/>
      </w:pPr>
    </w:p>
    <w:p w:rsidR="008E13EA" w:rsidRPr="00A1192C" w:rsidRDefault="008E13EA" w:rsidP="008E13EA">
      <w:pPr>
        <w:pStyle w:val="Sraopastraipa"/>
        <w:ind w:left="108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192C">
        <w:rPr>
          <w:rFonts w:ascii="Times New Roman" w:hAnsi="Times New Roman"/>
          <w:b/>
          <w:sz w:val="24"/>
          <w:szCs w:val="24"/>
          <w:lang w:val="lt-LT"/>
        </w:rPr>
        <w:t>PUPP analizė</w:t>
      </w:r>
    </w:p>
    <w:p w:rsidR="008E13EA" w:rsidRDefault="008E13EA" w:rsidP="008E13EA">
      <w:pPr>
        <w:ind w:left="360"/>
        <w:jc w:val="both"/>
      </w:pPr>
      <w:r w:rsidRPr="00A1192C">
        <w:t>IIG klasę baigė 9 mokinių. Viena</w:t>
      </w:r>
      <w:r w:rsidR="00BF69EF">
        <w:t>s</w:t>
      </w:r>
      <w:r w:rsidRPr="00A1192C">
        <w:t xml:space="preserve"> m</w:t>
      </w:r>
      <w:r w:rsidR="00BF69EF">
        <w:t>okinis</w:t>
      </w:r>
      <w:r>
        <w:t xml:space="preserve"> mok</w:t>
      </w:r>
      <w:r w:rsidRPr="00A1192C">
        <w:t>ėsi pagal pritaikytą programą.</w:t>
      </w:r>
    </w:p>
    <w:p w:rsidR="008E13EA" w:rsidRPr="00A1192C" w:rsidRDefault="008E13EA" w:rsidP="008E13EA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1341"/>
        <w:gridCol w:w="1190"/>
        <w:gridCol w:w="974"/>
        <w:gridCol w:w="942"/>
        <w:gridCol w:w="1007"/>
        <w:gridCol w:w="1205"/>
      </w:tblGrid>
      <w:tr w:rsidR="008E13EA" w:rsidRPr="00C7138F" w:rsidTr="00FD3B5C">
        <w:trPr>
          <w:trHeight w:val="9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490243">
            <w:pPr>
              <w:jc w:val="center"/>
              <w:rPr>
                <w:b/>
              </w:rPr>
            </w:pPr>
            <w:r w:rsidRPr="00C7138F">
              <w:rPr>
                <w:b/>
              </w:rPr>
              <w:t>Dalyko pavadinimas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490243">
            <w:pPr>
              <w:jc w:val="center"/>
              <w:rPr>
                <w:b/>
              </w:rPr>
            </w:pPr>
            <w:r>
              <w:rPr>
                <w:b/>
              </w:rPr>
              <w:t>Kiek mokinių</w:t>
            </w:r>
            <w:r w:rsidRPr="00C7138F">
              <w:rPr>
                <w:b/>
              </w:rPr>
              <w:t xml:space="preserve"> laikė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490243">
            <w:pPr>
              <w:jc w:val="center"/>
              <w:rPr>
                <w:b/>
              </w:rPr>
            </w:pPr>
            <w:r w:rsidRPr="00C7138F">
              <w:rPr>
                <w:b/>
              </w:rPr>
              <w:t>Neatvyko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490243">
            <w:pPr>
              <w:jc w:val="center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8E13EA" w:rsidRPr="00C7138F" w:rsidRDefault="008E13EA" w:rsidP="00490243">
            <w:pPr>
              <w:jc w:val="center"/>
              <w:rPr>
                <w:b/>
              </w:rPr>
            </w:pPr>
            <w:r>
              <w:rPr>
                <w:b/>
              </w:rPr>
              <w:t>10 - 9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490243">
            <w:pPr>
              <w:jc w:val="center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8E13EA" w:rsidRPr="00C7138F" w:rsidRDefault="008E13EA" w:rsidP="00490243">
            <w:pPr>
              <w:jc w:val="center"/>
              <w:rPr>
                <w:b/>
              </w:rPr>
            </w:pPr>
            <w:r>
              <w:rPr>
                <w:b/>
              </w:rPr>
              <w:t>8 - 7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490243">
            <w:pPr>
              <w:jc w:val="center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8E13EA" w:rsidRPr="00C7138F" w:rsidRDefault="008E13EA" w:rsidP="00490243">
            <w:pPr>
              <w:jc w:val="center"/>
              <w:rPr>
                <w:b/>
              </w:rPr>
            </w:pPr>
            <w:r>
              <w:rPr>
                <w:b/>
              </w:rPr>
              <w:t>6 - 4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490243">
            <w:pPr>
              <w:jc w:val="center"/>
              <w:rPr>
                <w:b/>
              </w:rPr>
            </w:pPr>
            <w:r w:rsidRPr="00C7138F">
              <w:rPr>
                <w:b/>
              </w:rPr>
              <w:t>Balai</w:t>
            </w:r>
          </w:p>
          <w:p w:rsidR="008E13EA" w:rsidRPr="00C7138F" w:rsidRDefault="008E13EA" w:rsidP="00490243">
            <w:pPr>
              <w:jc w:val="center"/>
              <w:rPr>
                <w:b/>
              </w:rPr>
            </w:pPr>
            <w:r>
              <w:rPr>
                <w:b/>
              </w:rPr>
              <w:t>3 - 0</w:t>
            </w:r>
          </w:p>
        </w:tc>
      </w:tr>
      <w:tr w:rsidR="008E13EA" w:rsidRPr="00C7138F" w:rsidTr="00FD3B5C">
        <w:trPr>
          <w:trHeight w:val="3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FD3B5C">
            <w:pPr>
              <w:pStyle w:val="Betarp"/>
            </w:pPr>
            <w:r w:rsidRPr="00C7138F">
              <w:t>Gimtoji kalba (lenkų)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BF69EF" w:rsidP="00FD3B5C">
            <w:pPr>
              <w:jc w:val="both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FD3B5C">
            <w:pPr>
              <w:jc w:val="both"/>
            </w:pPr>
            <w:r w:rsidRPr="00C713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0</w:t>
            </w:r>
          </w:p>
        </w:tc>
      </w:tr>
      <w:tr w:rsidR="008E13EA" w:rsidRPr="00C7138F" w:rsidTr="00FD3B5C">
        <w:trPr>
          <w:trHeight w:val="3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4740E7" w:rsidRDefault="008E13EA" w:rsidP="00FD3B5C">
            <w:pPr>
              <w:pStyle w:val="Betarp"/>
            </w:pPr>
            <w:r>
              <w:t>Lietuvių kalba ir literatūra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BF69EF" w:rsidP="00FD3B5C">
            <w:pPr>
              <w:jc w:val="both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FD3B5C">
            <w:pPr>
              <w:jc w:val="both"/>
            </w:pPr>
            <w:r w:rsidRPr="00C713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4</w:t>
            </w:r>
          </w:p>
        </w:tc>
      </w:tr>
      <w:tr w:rsidR="008E13EA" w:rsidRPr="00C7138F" w:rsidTr="00490243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FD3B5C">
            <w:pPr>
              <w:pStyle w:val="Betarp"/>
            </w:pPr>
            <w:r w:rsidRPr="00C7138F">
              <w:t xml:space="preserve">Matematika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EF" w:rsidRPr="00C7138F" w:rsidRDefault="00BF69EF" w:rsidP="00FD3B5C">
            <w:pPr>
              <w:jc w:val="both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8E13EA" w:rsidP="00FD3B5C">
            <w:pPr>
              <w:jc w:val="both"/>
            </w:pPr>
            <w:r w:rsidRPr="00C713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A" w:rsidRPr="00C7138F" w:rsidRDefault="00EA4884" w:rsidP="00FD3B5C">
            <w:pPr>
              <w:jc w:val="both"/>
            </w:pPr>
            <w:r>
              <w:t>1</w:t>
            </w:r>
          </w:p>
        </w:tc>
      </w:tr>
    </w:tbl>
    <w:p w:rsidR="008E13EA" w:rsidRPr="00AC51E6" w:rsidRDefault="008E13EA" w:rsidP="008E13EA">
      <w:pPr>
        <w:ind w:left="360"/>
        <w:rPr>
          <w:b/>
          <w:sz w:val="16"/>
          <w:szCs w:val="16"/>
        </w:rPr>
      </w:pPr>
    </w:p>
    <w:p w:rsidR="00C92F35" w:rsidRDefault="00C92F35"/>
    <w:sectPr w:rsidR="00C92F35" w:rsidSect="00490243">
      <w:pgSz w:w="11906" w:h="16838"/>
      <w:pgMar w:top="1701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5EBC"/>
    <w:multiLevelType w:val="multilevel"/>
    <w:tmpl w:val="F5D45D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91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EA"/>
    <w:rsid w:val="001B4B08"/>
    <w:rsid w:val="00490243"/>
    <w:rsid w:val="008E13EA"/>
    <w:rsid w:val="00BF69EF"/>
    <w:rsid w:val="00C92F35"/>
    <w:rsid w:val="00E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6258"/>
  <w15:chartTrackingRefBased/>
  <w15:docId w15:val="{EE61D55F-B752-4DB9-AF7E-50DE3FDD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13E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E13E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E13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2019-10-22T13:52:00Z</dcterms:created>
  <dcterms:modified xsi:type="dcterms:W3CDTF">2019-10-22T13:52:00Z</dcterms:modified>
</cp:coreProperties>
</file>